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2019年度第十六批达国Ⅴ排放标准的轻型汽油车(带IUPR)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78"/>
      <w:r>
        <w:rPr>
          <w:rFonts w:ascii="Times New Roman" w:hAnsi="Times New Roman" w:cs="Times New Roman"/>
          <w:b/>
          <w:bCs/>
        </w:rPr>
        <w:t>1、美国联合太平洋集团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新桦兴 GLE350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79"/>
      <w:r>
        <w:rPr>
          <w:rFonts w:ascii="Times New Roman" w:hAnsi="Times New Roman" w:cs="Times New Roman"/>
          <w:b/>
          <w:bCs/>
        </w:rPr>
        <w:t>2、北京环达汽车装配有限公司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BJQ5033XJE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监测车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GK29-9G444-** (Robert Bosch GmbH)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0FB72539"/>
    <w:rsid w:val="20386A83"/>
    <w:rsid w:val="23820800"/>
    <w:rsid w:val="38430AF3"/>
    <w:rsid w:val="4E2F3D58"/>
    <w:rsid w:val="58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