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北京市“十四五”时期</w:t>
      </w:r>
    </w:p>
    <w:p>
      <w:pPr>
        <w:jc w:val="center"/>
        <w:rPr>
          <w:rFonts w:hint="eastAsia" w:ascii="方正小标宋简体" w:eastAsia="方正小标宋简体"/>
          <w:sz w:val="44"/>
          <w:szCs w:val="44"/>
        </w:rPr>
      </w:pPr>
      <w:r>
        <w:rPr>
          <w:rFonts w:hint="eastAsia" w:ascii="方正小标宋简体" w:eastAsia="方正小标宋简体"/>
          <w:sz w:val="44"/>
          <w:szCs w:val="44"/>
        </w:rPr>
        <w:t>地方生态环境标准发展规划</w:t>
      </w: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r>
        <w:rPr>
          <w:rFonts w:hint="eastAsia" w:ascii="方正小标宋简体" w:eastAsia="方正小标宋简体"/>
          <w:sz w:val="32"/>
          <w:szCs w:val="32"/>
        </w:rPr>
        <w:t>北京市生态环境局</w:t>
      </w:r>
    </w:p>
    <w:p>
      <w:pPr>
        <w:jc w:val="center"/>
        <w:rPr>
          <w:rFonts w:hint="eastAsia" w:ascii="方正小标宋简体" w:eastAsia="方正小标宋简体"/>
          <w:sz w:val="32"/>
          <w:szCs w:val="32"/>
        </w:rPr>
      </w:pPr>
      <w:r>
        <w:rPr>
          <w:rFonts w:hint="eastAsia" w:ascii="方正小标宋简体" w:eastAsia="方正小标宋简体"/>
          <w:sz w:val="32"/>
          <w:szCs w:val="32"/>
        </w:rPr>
        <w:t>北京市市场监督管理局</w:t>
      </w:r>
    </w:p>
    <w:p>
      <w:pPr>
        <w:jc w:val="center"/>
        <w:rPr>
          <w:rFonts w:hint="eastAsia" w:ascii="方正小标宋简体" w:eastAsia="方正小标宋简体"/>
          <w:sz w:val="32"/>
          <w:szCs w:val="32"/>
        </w:rPr>
      </w:pPr>
    </w:p>
    <w:p>
      <w:pPr>
        <w:widowControl/>
        <w:jc w:val="left"/>
        <w:rPr>
          <w:rFonts w:ascii="方正小标宋简体" w:eastAsia="方正小标宋简体"/>
          <w:sz w:val="32"/>
          <w:szCs w:val="32"/>
        </w:rPr>
        <w:sectPr>
          <w:pgSz w:w="11906" w:h="16838"/>
          <w:pgMar w:top="2098" w:right="1474" w:bottom="1984" w:left="1587" w:header="851" w:footer="1587" w:gutter="0"/>
          <w:cols w:space="720" w:num="1"/>
          <w:docGrid w:type="lines" w:linePitch="312" w:charSpace="0"/>
        </w:sectPr>
      </w:pPr>
    </w:p>
    <w:p>
      <w:pPr>
        <w:pStyle w:val="8"/>
        <w:jc w:val="center"/>
        <w:rPr>
          <w:rFonts w:hint="eastAsia" w:ascii="方正小标宋简体" w:eastAsia="方正小标宋简体"/>
          <w:b w:val="0"/>
          <w:color w:val="auto"/>
          <w:sz w:val="32"/>
          <w:szCs w:val="32"/>
        </w:rPr>
      </w:pPr>
      <w:bookmarkStart w:id="0" w:name="_Toc132342499"/>
      <w:r>
        <w:rPr>
          <w:rFonts w:hint="eastAsia" w:ascii="方正小标宋简体" w:eastAsia="方正小标宋简体"/>
          <w:b w:val="0"/>
          <w:color w:val="auto"/>
          <w:sz w:val="32"/>
          <w:szCs w:val="32"/>
          <w:lang w:val="zh-CN"/>
        </w:rPr>
        <w:t>目 录</w:t>
      </w:r>
      <w:bookmarkEnd w:id="0"/>
    </w:p>
    <w:p>
      <w:pPr>
        <w:pStyle w:val="4"/>
        <w:tabs>
          <w:tab w:val="right" w:leader="dot" w:pos="8845"/>
        </w:tabs>
      </w:pPr>
      <w:r>
        <w:rPr>
          <w:rFonts w:ascii="Times New Roman" w:hAnsi="Times New Roman" w:eastAsia="仿宋_GB2312"/>
        </w:rPr>
        <w:fldChar w:fldCharType="begin"/>
      </w:r>
      <w:r>
        <w:rPr>
          <w:rFonts w:ascii="Times New Roman" w:hAnsi="Times New Roman" w:eastAsia="仿宋_GB2312"/>
        </w:rPr>
        <w:instrText xml:space="preserve"> TOC \o "1-3" \h \z \u </w:instrText>
      </w:r>
      <w:r>
        <w:rPr>
          <w:rFonts w:ascii="Times New Roman" w:hAnsi="Times New Roman" w:eastAsia="仿宋_GB2312"/>
        </w:rPr>
        <w:fldChar w:fldCharType="separate"/>
      </w:r>
      <w:r>
        <w:rPr>
          <w:rFonts w:eastAsia="仿宋_GB2312"/>
          <w:bCs/>
          <w:lang w:val="zh-CN"/>
        </w:rPr>
        <w:fldChar w:fldCharType="begin"/>
      </w:r>
      <w:r>
        <w:rPr>
          <w:rFonts w:eastAsia="仿宋_GB2312"/>
          <w:bCs/>
          <w:lang w:val="zh-CN"/>
        </w:rPr>
        <w:instrText xml:space="preserve"> HYPERLINK \l _Toc387381341 </w:instrText>
      </w:r>
      <w:r>
        <w:rPr>
          <w:rFonts w:eastAsia="仿宋_GB2312"/>
          <w:bCs/>
          <w:lang w:val="zh-CN"/>
        </w:rPr>
        <w:fldChar w:fldCharType="separate"/>
      </w:r>
      <w:r>
        <w:rPr>
          <w:rFonts w:hint="eastAsia" w:ascii="黑体" w:hAnsi="黑体" w:eastAsia="黑体"/>
          <w:szCs w:val="32"/>
        </w:rPr>
        <w:t>一、规划背景</w:t>
      </w:r>
      <w:r>
        <w:tab/>
      </w:r>
      <w:r>
        <w:rPr>
          <w:rFonts w:hint="eastAsia"/>
          <w:lang w:val="en-US" w:eastAsia="zh-CN"/>
        </w:rPr>
        <w:t>3</w:t>
      </w:r>
      <w:r>
        <w:rPr>
          <w:rFonts w:eastAsia="仿宋_GB2312"/>
          <w:bCs/>
          <w:lang w:val="zh-CN"/>
        </w:rPr>
        <w:fldChar w:fldCharType="end"/>
      </w:r>
    </w:p>
    <w:p>
      <w:pPr>
        <w:pStyle w:val="5"/>
        <w:tabs>
          <w:tab w:val="right" w:leader="dot" w:pos="8845"/>
        </w:tabs>
      </w:pPr>
      <w:r>
        <w:rPr>
          <w:rFonts w:eastAsia="仿宋_GB2312"/>
          <w:bCs/>
          <w:lang w:val="zh-CN"/>
        </w:rPr>
        <w:fldChar w:fldCharType="begin"/>
      </w:r>
      <w:r>
        <w:rPr>
          <w:rFonts w:eastAsia="仿宋_GB2312"/>
          <w:bCs/>
          <w:lang w:val="zh-CN"/>
        </w:rPr>
        <w:instrText xml:space="preserve"> HYPERLINK \l _Toc2107380256 </w:instrText>
      </w:r>
      <w:r>
        <w:rPr>
          <w:rFonts w:eastAsia="仿宋_GB2312"/>
          <w:bCs/>
          <w:lang w:val="zh-CN"/>
        </w:rPr>
        <w:fldChar w:fldCharType="separate"/>
      </w:r>
      <w:r>
        <w:rPr>
          <w:rFonts w:hint="eastAsia" w:ascii="楷体_GB2312" w:eastAsia="楷体_GB2312"/>
          <w:szCs w:val="32"/>
        </w:rPr>
        <w:t>（一）标准体系进一步充实</w:t>
      </w:r>
      <w:r>
        <w:tab/>
      </w:r>
      <w:r>
        <w:rPr>
          <w:rFonts w:hint="eastAsia"/>
          <w:lang w:val="en-US" w:eastAsia="zh-CN"/>
        </w:rPr>
        <w:t>3</w:t>
      </w:r>
      <w:r>
        <w:rPr>
          <w:rFonts w:eastAsia="仿宋_GB2312"/>
          <w:bCs/>
          <w:lang w:val="zh-CN"/>
        </w:rPr>
        <w:fldChar w:fldCharType="end"/>
      </w:r>
    </w:p>
    <w:p>
      <w:pPr>
        <w:pStyle w:val="5"/>
        <w:tabs>
          <w:tab w:val="right" w:leader="dot" w:pos="8845"/>
        </w:tabs>
      </w:pPr>
      <w:r>
        <w:rPr>
          <w:rFonts w:eastAsia="仿宋_GB2312"/>
          <w:bCs/>
          <w:lang w:val="zh-CN"/>
        </w:rPr>
        <w:fldChar w:fldCharType="begin"/>
      </w:r>
      <w:r>
        <w:rPr>
          <w:rFonts w:eastAsia="仿宋_GB2312"/>
          <w:bCs/>
          <w:lang w:val="zh-CN"/>
        </w:rPr>
        <w:instrText xml:space="preserve"> HYPERLINK \l _Toc1453596039 </w:instrText>
      </w:r>
      <w:r>
        <w:rPr>
          <w:rFonts w:eastAsia="仿宋_GB2312"/>
          <w:bCs/>
          <w:lang w:val="zh-CN"/>
        </w:rPr>
        <w:fldChar w:fldCharType="separate"/>
      </w:r>
      <w:r>
        <w:rPr>
          <w:rFonts w:hint="eastAsia" w:ascii="楷体_GB2312" w:eastAsia="楷体_GB2312" w:cs="仿宋_GB2312"/>
          <w:szCs w:val="32"/>
        </w:rPr>
        <w:t>（二）标准实施成效更加显著</w:t>
      </w:r>
      <w:r>
        <w:tab/>
      </w:r>
      <w:r>
        <w:rPr>
          <w:rFonts w:hint="eastAsia"/>
          <w:lang w:val="en-US" w:eastAsia="zh-CN"/>
        </w:rPr>
        <w:t>4</w:t>
      </w:r>
      <w:r>
        <w:rPr>
          <w:rFonts w:eastAsia="仿宋_GB2312"/>
          <w:bCs/>
          <w:lang w:val="zh-CN"/>
        </w:rPr>
        <w:fldChar w:fldCharType="end"/>
      </w:r>
    </w:p>
    <w:p>
      <w:pPr>
        <w:pStyle w:val="5"/>
        <w:tabs>
          <w:tab w:val="right" w:leader="dot" w:pos="8845"/>
        </w:tabs>
      </w:pPr>
      <w:r>
        <w:rPr>
          <w:rFonts w:eastAsia="仿宋_GB2312"/>
          <w:bCs/>
          <w:lang w:val="zh-CN"/>
        </w:rPr>
        <w:fldChar w:fldCharType="begin"/>
      </w:r>
      <w:r>
        <w:rPr>
          <w:rFonts w:eastAsia="仿宋_GB2312"/>
          <w:bCs/>
          <w:lang w:val="zh-CN"/>
        </w:rPr>
        <w:instrText xml:space="preserve"> HYPERLINK \l _Toc1049268166 </w:instrText>
      </w:r>
      <w:r>
        <w:rPr>
          <w:rFonts w:eastAsia="仿宋_GB2312"/>
          <w:bCs/>
          <w:lang w:val="zh-CN"/>
        </w:rPr>
        <w:fldChar w:fldCharType="separate"/>
      </w:r>
      <w:r>
        <w:rPr>
          <w:rFonts w:hint="eastAsia" w:ascii="楷体_GB2312" w:eastAsia="楷体_GB2312" w:cs="仿宋_GB2312"/>
          <w:szCs w:val="32"/>
        </w:rPr>
        <w:t>（三）区域标准协同实现突破</w:t>
      </w:r>
      <w:r>
        <w:tab/>
      </w:r>
      <w:r>
        <w:rPr>
          <w:rFonts w:hint="eastAsia"/>
          <w:lang w:val="en-US" w:eastAsia="zh-CN"/>
        </w:rPr>
        <w:t>5</w:t>
      </w:r>
      <w:r>
        <w:rPr>
          <w:rFonts w:eastAsia="仿宋_GB2312"/>
          <w:bCs/>
          <w:lang w:val="zh-CN"/>
        </w:rPr>
        <w:fldChar w:fldCharType="end"/>
      </w:r>
    </w:p>
    <w:p>
      <w:pPr>
        <w:pStyle w:val="4"/>
        <w:tabs>
          <w:tab w:val="right" w:leader="dot" w:pos="8845"/>
        </w:tabs>
      </w:pPr>
      <w:r>
        <w:rPr>
          <w:rFonts w:eastAsia="仿宋_GB2312"/>
          <w:bCs/>
          <w:lang w:val="zh-CN"/>
        </w:rPr>
        <w:fldChar w:fldCharType="begin"/>
      </w:r>
      <w:r>
        <w:rPr>
          <w:rFonts w:eastAsia="仿宋_GB2312"/>
          <w:bCs/>
          <w:lang w:val="zh-CN"/>
        </w:rPr>
        <w:instrText xml:space="preserve"> HYPERLINK \l _Toc1622803582 </w:instrText>
      </w:r>
      <w:r>
        <w:rPr>
          <w:rFonts w:eastAsia="仿宋_GB2312"/>
          <w:bCs/>
          <w:lang w:val="zh-CN"/>
        </w:rPr>
        <w:fldChar w:fldCharType="separate"/>
      </w:r>
      <w:r>
        <w:rPr>
          <w:rFonts w:hint="eastAsia" w:ascii="黑体" w:hAnsi="黑体" w:eastAsia="黑体"/>
          <w:szCs w:val="32"/>
        </w:rPr>
        <w:t>二、新形势新要求</w:t>
      </w:r>
      <w:r>
        <w:tab/>
      </w:r>
      <w:r>
        <w:rPr>
          <w:rFonts w:hint="eastAsia"/>
          <w:lang w:val="en-US" w:eastAsia="zh-CN"/>
        </w:rPr>
        <w:t>5</w:t>
      </w:r>
      <w:r>
        <w:rPr>
          <w:rFonts w:eastAsia="仿宋_GB2312"/>
          <w:bCs/>
          <w:lang w:val="zh-CN"/>
        </w:rPr>
        <w:fldChar w:fldCharType="end"/>
      </w:r>
    </w:p>
    <w:p>
      <w:pPr>
        <w:pStyle w:val="4"/>
        <w:tabs>
          <w:tab w:val="right" w:leader="dot" w:pos="8845"/>
        </w:tabs>
      </w:pPr>
      <w:r>
        <w:rPr>
          <w:rFonts w:eastAsia="仿宋_GB2312"/>
          <w:bCs/>
          <w:lang w:val="zh-CN"/>
        </w:rPr>
        <w:fldChar w:fldCharType="begin"/>
      </w:r>
      <w:r>
        <w:rPr>
          <w:rFonts w:eastAsia="仿宋_GB2312"/>
          <w:bCs/>
          <w:lang w:val="zh-CN"/>
        </w:rPr>
        <w:instrText xml:space="preserve"> HYPERLINK \l _Toc1242597140 </w:instrText>
      </w:r>
      <w:r>
        <w:rPr>
          <w:rFonts w:eastAsia="仿宋_GB2312"/>
          <w:bCs/>
          <w:lang w:val="zh-CN"/>
        </w:rPr>
        <w:fldChar w:fldCharType="separate"/>
      </w:r>
      <w:r>
        <w:rPr>
          <w:rFonts w:hint="eastAsia" w:ascii="黑体" w:hAnsi="黑体" w:eastAsia="黑体"/>
          <w:szCs w:val="32"/>
        </w:rPr>
        <w:t>三、指导思想和目标</w:t>
      </w:r>
      <w:r>
        <w:tab/>
      </w:r>
      <w:r>
        <w:rPr>
          <w:rFonts w:hint="eastAsia"/>
          <w:lang w:val="en-US" w:eastAsia="zh-CN"/>
        </w:rPr>
        <w:t>7</w:t>
      </w:r>
      <w:r>
        <w:rPr>
          <w:rFonts w:eastAsia="仿宋_GB2312"/>
          <w:bCs/>
          <w:lang w:val="zh-CN"/>
        </w:rPr>
        <w:fldChar w:fldCharType="end"/>
      </w:r>
    </w:p>
    <w:p>
      <w:pPr>
        <w:pStyle w:val="5"/>
        <w:tabs>
          <w:tab w:val="right" w:leader="dot" w:pos="8845"/>
        </w:tabs>
      </w:pPr>
      <w:r>
        <w:rPr>
          <w:rFonts w:eastAsia="仿宋_GB2312"/>
          <w:bCs/>
          <w:lang w:val="zh-CN"/>
        </w:rPr>
        <w:fldChar w:fldCharType="begin"/>
      </w:r>
      <w:r>
        <w:rPr>
          <w:rFonts w:eastAsia="仿宋_GB2312"/>
          <w:bCs/>
          <w:lang w:val="zh-CN"/>
        </w:rPr>
        <w:instrText xml:space="preserve"> HYPERLINK \l _Toc1012415334 </w:instrText>
      </w:r>
      <w:r>
        <w:rPr>
          <w:rFonts w:eastAsia="仿宋_GB2312"/>
          <w:bCs/>
          <w:lang w:val="zh-CN"/>
        </w:rPr>
        <w:fldChar w:fldCharType="separate"/>
      </w:r>
      <w:r>
        <w:rPr>
          <w:rFonts w:hint="eastAsia" w:ascii="楷体_GB2312" w:eastAsia="楷体_GB2312"/>
          <w:szCs w:val="32"/>
        </w:rPr>
        <w:t>（一）指导思想</w:t>
      </w:r>
      <w:r>
        <w:tab/>
      </w:r>
      <w:r>
        <w:rPr>
          <w:rFonts w:hint="eastAsia"/>
          <w:lang w:val="en-US" w:eastAsia="zh-CN"/>
        </w:rPr>
        <w:t>7</w:t>
      </w:r>
      <w:r>
        <w:rPr>
          <w:rFonts w:eastAsia="仿宋_GB2312"/>
          <w:bCs/>
          <w:lang w:val="zh-CN"/>
        </w:rPr>
        <w:fldChar w:fldCharType="end"/>
      </w:r>
    </w:p>
    <w:p>
      <w:pPr>
        <w:pStyle w:val="5"/>
        <w:tabs>
          <w:tab w:val="right" w:leader="dot" w:pos="8845"/>
        </w:tabs>
      </w:pPr>
      <w:r>
        <w:rPr>
          <w:rFonts w:eastAsia="仿宋_GB2312"/>
          <w:bCs/>
          <w:lang w:val="zh-CN"/>
        </w:rPr>
        <w:fldChar w:fldCharType="begin"/>
      </w:r>
      <w:r>
        <w:rPr>
          <w:rFonts w:eastAsia="仿宋_GB2312"/>
          <w:bCs/>
          <w:lang w:val="zh-CN"/>
        </w:rPr>
        <w:instrText xml:space="preserve"> HYPERLINK \l _Toc1722594809 </w:instrText>
      </w:r>
      <w:r>
        <w:rPr>
          <w:rFonts w:eastAsia="仿宋_GB2312"/>
          <w:bCs/>
          <w:lang w:val="zh-CN"/>
        </w:rPr>
        <w:fldChar w:fldCharType="separate"/>
      </w:r>
      <w:r>
        <w:rPr>
          <w:rFonts w:hint="eastAsia" w:ascii="楷体_GB2312" w:eastAsia="楷体_GB2312"/>
          <w:szCs w:val="32"/>
        </w:rPr>
        <w:t>（二）基本原则</w:t>
      </w:r>
      <w:r>
        <w:tab/>
      </w:r>
      <w:r>
        <w:rPr>
          <w:rFonts w:hint="eastAsia"/>
          <w:lang w:val="en-US" w:eastAsia="zh-CN"/>
        </w:rPr>
        <w:t>7</w:t>
      </w:r>
      <w:r>
        <w:rPr>
          <w:rFonts w:eastAsia="仿宋_GB2312"/>
          <w:bCs/>
          <w:lang w:val="zh-CN"/>
        </w:rPr>
        <w:fldChar w:fldCharType="end"/>
      </w:r>
    </w:p>
    <w:p>
      <w:pPr>
        <w:pStyle w:val="5"/>
        <w:tabs>
          <w:tab w:val="right" w:leader="dot" w:pos="8845"/>
        </w:tabs>
      </w:pPr>
      <w:r>
        <w:rPr>
          <w:rFonts w:eastAsia="仿宋_GB2312"/>
          <w:bCs/>
          <w:lang w:val="zh-CN"/>
        </w:rPr>
        <w:fldChar w:fldCharType="begin"/>
      </w:r>
      <w:r>
        <w:rPr>
          <w:rFonts w:eastAsia="仿宋_GB2312"/>
          <w:bCs/>
          <w:lang w:val="zh-CN"/>
        </w:rPr>
        <w:instrText xml:space="preserve"> HYPERLINK \l _Toc1447886447 </w:instrText>
      </w:r>
      <w:r>
        <w:rPr>
          <w:rFonts w:eastAsia="仿宋_GB2312"/>
          <w:bCs/>
          <w:lang w:val="zh-CN"/>
        </w:rPr>
        <w:fldChar w:fldCharType="separate"/>
      </w:r>
      <w:r>
        <w:rPr>
          <w:rFonts w:hint="eastAsia" w:ascii="楷体_GB2312" w:eastAsia="楷体_GB2312"/>
          <w:szCs w:val="32"/>
        </w:rPr>
        <w:t>（三）规划目标</w:t>
      </w:r>
      <w:r>
        <w:tab/>
      </w:r>
      <w:r>
        <w:rPr>
          <w:rFonts w:hint="eastAsia"/>
          <w:lang w:val="en-US" w:eastAsia="zh-CN"/>
        </w:rPr>
        <w:t>8</w:t>
      </w:r>
      <w:r>
        <w:rPr>
          <w:rFonts w:eastAsia="仿宋_GB2312"/>
          <w:bCs/>
          <w:lang w:val="zh-CN"/>
        </w:rPr>
        <w:fldChar w:fldCharType="end"/>
      </w:r>
    </w:p>
    <w:p>
      <w:pPr>
        <w:pStyle w:val="4"/>
        <w:tabs>
          <w:tab w:val="right" w:leader="dot" w:pos="8845"/>
        </w:tabs>
      </w:pPr>
      <w:r>
        <w:rPr>
          <w:rFonts w:eastAsia="仿宋_GB2312"/>
          <w:bCs/>
          <w:lang w:val="zh-CN"/>
        </w:rPr>
        <w:fldChar w:fldCharType="begin"/>
      </w:r>
      <w:r>
        <w:rPr>
          <w:rFonts w:eastAsia="仿宋_GB2312"/>
          <w:bCs/>
          <w:lang w:val="zh-CN"/>
        </w:rPr>
        <w:instrText xml:space="preserve"> HYPERLINK \l _Toc2068509855 </w:instrText>
      </w:r>
      <w:r>
        <w:rPr>
          <w:rFonts w:eastAsia="仿宋_GB2312"/>
          <w:bCs/>
          <w:lang w:val="zh-CN"/>
        </w:rPr>
        <w:fldChar w:fldCharType="separate"/>
      </w:r>
      <w:r>
        <w:rPr>
          <w:rFonts w:hint="eastAsia" w:ascii="黑体" w:hAnsi="黑体" w:eastAsia="黑体"/>
          <w:szCs w:val="32"/>
        </w:rPr>
        <w:t>四、主要任务与重点项目</w:t>
      </w:r>
      <w:r>
        <w:tab/>
      </w:r>
      <w:r>
        <w:rPr>
          <w:rFonts w:hint="eastAsia"/>
          <w:lang w:val="en-US" w:eastAsia="zh-CN"/>
        </w:rPr>
        <w:t>8</w:t>
      </w:r>
      <w:r>
        <w:rPr>
          <w:rFonts w:eastAsia="仿宋_GB2312"/>
          <w:bCs/>
          <w:lang w:val="zh-CN"/>
        </w:rPr>
        <w:fldChar w:fldCharType="end"/>
      </w:r>
    </w:p>
    <w:p>
      <w:pPr>
        <w:pStyle w:val="5"/>
        <w:tabs>
          <w:tab w:val="right" w:leader="dot" w:pos="8845"/>
        </w:tabs>
      </w:pPr>
      <w:r>
        <w:rPr>
          <w:rFonts w:eastAsia="仿宋_GB2312"/>
          <w:bCs/>
          <w:lang w:val="zh-CN"/>
        </w:rPr>
        <w:fldChar w:fldCharType="begin"/>
      </w:r>
      <w:r>
        <w:rPr>
          <w:rFonts w:eastAsia="仿宋_GB2312"/>
          <w:bCs/>
          <w:lang w:val="zh-CN"/>
        </w:rPr>
        <w:instrText xml:space="preserve"> HYPERLINK \l _Toc176423191 </w:instrText>
      </w:r>
      <w:r>
        <w:rPr>
          <w:rFonts w:eastAsia="仿宋_GB2312"/>
          <w:bCs/>
          <w:lang w:val="zh-CN"/>
        </w:rPr>
        <w:fldChar w:fldCharType="separate"/>
      </w:r>
      <w:r>
        <w:rPr>
          <w:rFonts w:hint="eastAsia" w:ascii="楷体_GB2312" w:eastAsia="楷体_GB2312"/>
          <w:szCs w:val="32"/>
        </w:rPr>
        <w:t>（一）健全生态环境标准体系</w:t>
      </w:r>
      <w:r>
        <w:tab/>
      </w:r>
      <w:r>
        <w:rPr>
          <w:rFonts w:hint="eastAsia"/>
          <w:lang w:val="en-US" w:eastAsia="zh-CN"/>
        </w:rPr>
        <w:t>8</w:t>
      </w:r>
      <w:r>
        <w:rPr>
          <w:rFonts w:eastAsia="仿宋_GB2312"/>
          <w:bCs/>
          <w:lang w:val="zh-CN"/>
        </w:rPr>
        <w:fldChar w:fldCharType="end"/>
      </w:r>
    </w:p>
    <w:p>
      <w:pPr>
        <w:pStyle w:val="5"/>
        <w:tabs>
          <w:tab w:val="right" w:leader="dot" w:pos="8845"/>
        </w:tabs>
        <w:rPr>
          <w:rFonts w:hint="eastAsia" w:eastAsia="仿宋_GB2312"/>
          <w:lang w:val="en-US" w:eastAsia="zh-CN"/>
        </w:rPr>
      </w:pPr>
      <w:r>
        <w:rPr>
          <w:rFonts w:eastAsia="仿宋_GB2312"/>
          <w:bCs/>
          <w:lang w:val="zh-CN"/>
        </w:rPr>
        <w:fldChar w:fldCharType="begin"/>
      </w:r>
      <w:r>
        <w:rPr>
          <w:rFonts w:eastAsia="仿宋_GB2312"/>
          <w:bCs/>
          <w:lang w:val="zh-CN"/>
        </w:rPr>
        <w:instrText xml:space="preserve"> HYPERLINK \l _Toc72798183 </w:instrText>
      </w:r>
      <w:r>
        <w:rPr>
          <w:rFonts w:eastAsia="仿宋_GB2312"/>
          <w:bCs/>
          <w:lang w:val="zh-CN"/>
        </w:rPr>
        <w:fldChar w:fldCharType="separate"/>
      </w:r>
      <w:r>
        <w:rPr>
          <w:rFonts w:hint="eastAsia" w:ascii="楷体_GB2312" w:eastAsia="楷体_GB2312"/>
          <w:szCs w:val="32"/>
        </w:rPr>
        <w:t>（二）制修订一批重点领域标准</w:t>
      </w:r>
      <w:r>
        <w:tab/>
      </w:r>
      <w:r>
        <w:rPr>
          <w:rFonts w:hint="eastAsia"/>
          <w:lang w:val="en-US" w:eastAsia="zh-CN"/>
        </w:rPr>
        <w:t>1</w:t>
      </w:r>
      <w:r>
        <w:rPr>
          <w:rFonts w:eastAsia="仿宋_GB2312"/>
          <w:bCs/>
          <w:lang w:val="zh-CN"/>
        </w:rPr>
        <w:fldChar w:fldCharType="end"/>
      </w:r>
      <w:r>
        <w:rPr>
          <w:rFonts w:hint="eastAsia" w:eastAsia="仿宋_GB2312"/>
          <w:bCs/>
          <w:lang w:val="en-US" w:eastAsia="zh-CN"/>
        </w:rPr>
        <w:t>0</w:t>
      </w:r>
    </w:p>
    <w:p>
      <w:pPr>
        <w:pStyle w:val="5"/>
        <w:tabs>
          <w:tab w:val="right" w:leader="dot" w:pos="8845"/>
        </w:tabs>
        <w:rPr>
          <w:rFonts w:hint="eastAsia" w:eastAsia="仿宋_GB2312"/>
          <w:lang w:val="en-US" w:eastAsia="zh-CN"/>
        </w:rPr>
      </w:pPr>
      <w:r>
        <w:rPr>
          <w:rFonts w:eastAsia="仿宋_GB2312"/>
          <w:bCs/>
          <w:lang w:val="zh-CN"/>
        </w:rPr>
        <w:fldChar w:fldCharType="begin"/>
      </w:r>
      <w:r>
        <w:rPr>
          <w:rFonts w:eastAsia="仿宋_GB2312"/>
          <w:bCs/>
          <w:lang w:val="zh-CN"/>
        </w:rPr>
        <w:instrText xml:space="preserve"> HYPERLINK \l _Toc512651409 </w:instrText>
      </w:r>
      <w:r>
        <w:rPr>
          <w:rFonts w:eastAsia="仿宋_GB2312"/>
          <w:bCs/>
          <w:lang w:val="zh-CN"/>
        </w:rPr>
        <w:fldChar w:fldCharType="separate"/>
      </w:r>
      <w:r>
        <w:rPr>
          <w:rFonts w:hint="eastAsia" w:ascii="楷体_GB2312" w:eastAsia="楷体_GB2312"/>
          <w:szCs w:val="32"/>
        </w:rPr>
        <w:t>（三）不断夯实标准效果追踪</w:t>
      </w:r>
      <w:r>
        <w:tab/>
      </w:r>
      <w:r>
        <w:rPr>
          <w:rFonts w:hint="eastAsia"/>
          <w:lang w:val="en-US" w:eastAsia="zh-CN"/>
        </w:rPr>
        <w:t>2</w:t>
      </w:r>
      <w:r>
        <w:rPr>
          <w:rFonts w:eastAsia="仿宋_GB2312"/>
          <w:bCs/>
          <w:lang w:val="zh-CN"/>
        </w:rPr>
        <w:fldChar w:fldCharType="end"/>
      </w:r>
      <w:r>
        <w:rPr>
          <w:rFonts w:hint="eastAsia" w:eastAsia="仿宋_GB2312"/>
          <w:bCs/>
          <w:lang w:val="en-US" w:eastAsia="zh-CN"/>
        </w:rPr>
        <w:t>0</w:t>
      </w:r>
    </w:p>
    <w:p>
      <w:pPr>
        <w:pStyle w:val="5"/>
        <w:tabs>
          <w:tab w:val="right" w:leader="dot" w:pos="8845"/>
        </w:tabs>
        <w:rPr>
          <w:rFonts w:hint="eastAsia" w:eastAsia="仿宋_GB2312"/>
          <w:lang w:val="en-US" w:eastAsia="zh-CN"/>
        </w:rPr>
      </w:pPr>
      <w:r>
        <w:rPr>
          <w:rFonts w:eastAsia="仿宋_GB2312"/>
          <w:bCs/>
          <w:lang w:val="zh-CN"/>
        </w:rPr>
        <w:fldChar w:fldCharType="begin"/>
      </w:r>
      <w:r>
        <w:rPr>
          <w:rFonts w:eastAsia="仿宋_GB2312"/>
          <w:bCs/>
          <w:lang w:val="zh-CN"/>
        </w:rPr>
        <w:instrText xml:space="preserve"> HYPERLINK \l _Toc792986768 </w:instrText>
      </w:r>
      <w:r>
        <w:rPr>
          <w:rFonts w:eastAsia="仿宋_GB2312"/>
          <w:bCs/>
          <w:lang w:val="zh-CN"/>
        </w:rPr>
        <w:fldChar w:fldCharType="separate"/>
      </w:r>
      <w:r>
        <w:rPr>
          <w:rFonts w:hint="eastAsia" w:eastAsia="楷体_GB2312"/>
        </w:rPr>
        <w:t>（四）持续提高标准制修订水平</w:t>
      </w:r>
      <w:r>
        <w:tab/>
      </w:r>
      <w:r>
        <w:rPr>
          <w:rFonts w:hint="eastAsia"/>
          <w:lang w:val="en-US" w:eastAsia="zh-CN"/>
        </w:rPr>
        <w:t>2</w:t>
      </w:r>
      <w:r>
        <w:rPr>
          <w:rFonts w:eastAsia="仿宋_GB2312"/>
          <w:bCs/>
          <w:lang w:val="zh-CN"/>
        </w:rPr>
        <w:fldChar w:fldCharType="end"/>
      </w:r>
      <w:r>
        <w:rPr>
          <w:rFonts w:hint="eastAsia" w:eastAsia="仿宋_GB2312"/>
          <w:bCs/>
          <w:lang w:val="en-US" w:eastAsia="zh-CN"/>
        </w:rPr>
        <w:t>1</w:t>
      </w:r>
    </w:p>
    <w:p>
      <w:pPr>
        <w:pStyle w:val="5"/>
        <w:tabs>
          <w:tab w:val="right" w:leader="dot" w:pos="8845"/>
        </w:tabs>
        <w:rPr>
          <w:rFonts w:hint="eastAsia" w:eastAsia="仿宋_GB2312"/>
          <w:lang w:val="en-US" w:eastAsia="zh-CN"/>
        </w:rPr>
      </w:pPr>
      <w:r>
        <w:rPr>
          <w:rFonts w:eastAsia="仿宋_GB2312"/>
          <w:bCs/>
          <w:lang w:val="zh-CN"/>
        </w:rPr>
        <w:fldChar w:fldCharType="begin"/>
      </w:r>
      <w:r>
        <w:rPr>
          <w:rFonts w:eastAsia="仿宋_GB2312"/>
          <w:bCs/>
          <w:lang w:val="zh-CN"/>
        </w:rPr>
        <w:instrText xml:space="preserve"> HYPERLINK \l _Toc899618018 </w:instrText>
      </w:r>
      <w:r>
        <w:rPr>
          <w:rFonts w:eastAsia="仿宋_GB2312"/>
          <w:bCs/>
          <w:lang w:val="zh-CN"/>
        </w:rPr>
        <w:fldChar w:fldCharType="separate"/>
      </w:r>
      <w:r>
        <w:rPr>
          <w:rFonts w:hint="eastAsia" w:ascii="楷体_GB2312" w:eastAsia="楷体_GB2312"/>
          <w:szCs w:val="32"/>
        </w:rPr>
        <w:t>（五）加强生态环境标准宣传贯彻</w:t>
      </w:r>
      <w:r>
        <w:tab/>
      </w:r>
      <w:r>
        <w:rPr>
          <w:rFonts w:hint="eastAsia"/>
          <w:lang w:val="en-US" w:eastAsia="zh-CN"/>
        </w:rPr>
        <w:t>2</w:t>
      </w:r>
      <w:r>
        <w:rPr>
          <w:rFonts w:eastAsia="仿宋_GB2312"/>
          <w:bCs/>
          <w:lang w:val="zh-CN"/>
        </w:rPr>
        <w:fldChar w:fldCharType="end"/>
      </w:r>
      <w:r>
        <w:rPr>
          <w:rFonts w:hint="eastAsia" w:eastAsia="仿宋_GB2312"/>
          <w:bCs/>
          <w:lang w:val="en-US" w:eastAsia="zh-CN"/>
        </w:rPr>
        <w:t>2</w:t>
      </w:r>
    </w:p>
    <w:p>
      <w:pPr>
        <w:pStyle w:val="5"/>
        <w:tabs>
          <w:tab w:val="right" w:leader="dot" w:pos="8845"/>
        </w:tabs>
        <w:rPr>
          <w:rFonts w:hint="eastAsia" w:eastAsia="仿宋_GB2312"/>
          <w:lang w:val="en-US" w:eastAsia="zh-CN"/>
        </w:rPr>
      </w:pPr>
      <w:r>
        <w:rPr>
          <w:rFonts w:eastAsia="仿宋_GB2312"/>
          <w:bCs/>
          <w:lang w:val="zh-CN"/>
        </w:rPr>
        <w:fldChar w:fldCharType="begin"/>
      </w:r>
      <w:r>
        <w:rPr>
          <w:rFonts w:eastAsia="仿宋_GB2312"/>
          <w:bCs/>
          <w:lang w:val="zh-CN"/>
        </w:rPr>
        <w:instrText xml:space="preserve"> HYPERLINK \l _Toc292463767 </w:instrText>
      </w:r>
      <w:r>
        <w:rPr>
          <w:rFonts w:eastAsia="仿宋_GB2312"/>
          <w:bCs/>
          <w:lang w:val="zh-CN"/>
        </w:rPr>
        <w:fldChar w:fldCharType="separate"/>
      </w:r>
      <w:r>
        <w:rPr>
          <w:rFonts w:hint="eastAsia" w:ascii="楷体_GB2312" w:eastAsia="楷体_GB2312"/>
          <w:szCs w:val="32"/>
        </w:rPr>
        <w:t>（六）促进京津冀生态环境标准协同突破</w:t>
      </w:r>
      <w:r>
        <w:tab/>
      </w:r>
      <w:r>
        <w:rPr>
          <w:rFonts w:hint="eastAsia"/>
          <w:lang w:val="en-US" w:eastAsia="zh-CN"/>
        </w:rPr>
        <w:t>2</w:t>
      </w:r>
      <w:r>
        <w:rPr>
          <w:rFonts w:eastAsia="仿宋_GB2312"/>
          <w:bCs/>
          <w:lang w:val="zh-CN"/>
        </w:rPr>
        <w:fldChar w:fldCharType="end"/>
      </w:r>
      <w:r>
        <w:rPr>
          <w:rFonts w:hint="eastAsia" w:eastAsia="仿宋_GB2312"/>
          <w:bCs/>
          <w:lang w:val="en-US" w:eastAsia="zh-CN"/>
        </w:rPr>
        <w:t>3</w:t>
      </w:r>
    </w:p>
    <w:p>
      <w:pPr>
        <w:pStyle w:val="4"/>
        <w:tabs>
          <w:tab w:val="right" w:leader="dot" w:pos="8845"/>
        </w:tabs>
        <w:rPr>
          <w:rFonts w:hint="eastAsia" w:eastAsia="仿宋_GB2312"/>
          <w:lang w:val="en-US" w:eastAsia="zh-CN"/>
        </w:rPr>
      </w:pPr>
      <w:r>
        <w:rPr>
          <w:rFonts w:eastAsia="仿宋_GB2312"/>
          <w:bCs/>
          <w:lang w:val="zh-CN"/>
        </w:rPr>
        <w:fldChar w:fldCharType="begin"/>
      </w:r>
      <w:r>
        <w:rPr>
          <w:rFonts w:eastAsia="仿宋_GB2312"/>
          <w:bCs/>
          <w:lang w:val="zh-CN"/>
        </w:rPr>
        <w:instrText xml:space="preserve"> HYPERLINK \l _Toc1412282977 </w:instrText>
      </w:r>
      <w:r>
        <w:rPr>
          <w:rFonts w:eastAsia="仿宋_GB2312"/>
          <w:bCs/>
          <w:lang w:val="zh-CN"/>
        </w:rPr>
        <w:fldChar w:fldCharType="separate"/>
      </w:r>
      <w:r>
        <w:rPr>
          <w:rFonts w:hint="eastAsia" w:ascii="黑体" w:hAnsi="黑体" w:eastAsia="黑体"/>
          <w:szCs w:val="32"/>
        </w:rPr>
        <w:t>五、实施保障</w:t>
      </w:r>
      <w:r>
        <w:tab/>
      </w:r>
      <w:r>
        <w:rPr>
          <w:rFonts w:hint="eastAsia"/>
          <w:lang w:val="en-US" w:eastAsia="zh-CN"/>
        </w:rPr>
        <w:t>2</w:t>
      </w:r>
      <w:r>
        <w:rPr>
          <w:rFonts w:eastAsia="仿宋_GB2312"/>
          <w:bCs/>
          <w:lang w:val="zh-CN"/>
        </w:rPr>
        <w:fldChar w:fldCharType="end"/>
      </w:r>
      <w:r>
        <w:rPr>
          <w:rFonts w:hint="eastAsia" w:eastAsia="仿宋_GB2312"/>
          <w:bCs/>
          <w:lang w:val="en-US" w:eastAsia="zh-CN"/>
        </w:rPr>
        <w:t>4</w:t>
      </w:r>
    </w:p>
    <w:p>
      <w:pPr>
        <w:pStyle w:val="5"/>
        <w:tabs>
          <w:tab w:val="right" w:leader="dot" w:pos="8845"/>
        </w:tabs>
        <w:rPr>
          <w:rFonts w:hint="eastAsia" w:eastAsia="仿宋_GB2312"/>
          <w:lang w:val="en-US" w:eastAsia="zh-CN"/>
        </w:rPr>
      </w:pPr>
      <w:r>
        <w:rPr>
          <w:rFonts w:eastAsia="仿宋_GB2312"/>
          <w:bCs/>
          <w:lang w:val="zh-CN"/>
        </w:rPr>
        <w:fldChar w:fldCharType="begin"/>
      </w:r>
      <w:r>
        <w:rPr>
          <w:rFonts w:eastAsia="仿宋_GB2312"/>
          <w:bCs/>
          <w:lang w:val="zh-CN"/>
        </w:rPr>
        <w:instrText xml:space="preserve"> HYPERLINK \l _Toc1213900809 </w:instrText>
      </w:r>
      <w:r>
        <w:rPr>
          <w:rFonts w:eastAsia="仿宋_GB2312"/>
          <w:bCs/>
          <w:lang w:val="zh-CN"/>
        </w:rPr>
        <w:fldChar w:fldCharType="separate"/>
      </w:r>
      <w:r>
        <w:rPr>
          <w:rFonts w:hint="eastAsia" w:ascii="楷体_GB2312" w:eastAsia="楷体_GB2312"/>
          <w:szCs w:val="32"/>
        </w:rPr>
        <w:t>（一）加强组织领导</w:t>
      </w:r>
      <w:r>
        <w:tab/>
      </w:r>
      <w:r>
        <w:rPr>
          <w:rFonts w:hint="eastAsia"/>
          <w:lang w:val="en-US" w:eastAsia="zh-CN"/>
        </w:rPr>
        <w:t>2</w:t>
      </w:r>
      <w:r>
        <w:rPr>
          <w:rFonts w:eastAsia="仿宋_GB2312"/>
          <w:bCs/>
          <w:lang w:val="zh-CN"/>
        </w:rPr>
        <w:fldChar w:fldCharType="end"/>
      </w:r>
      <w:r>
        <w:rPr>
          <w:rFonts w:hint="eastAsia" w:eastAsia="仿宋_GB2312"/>
          <w:bCs/>
          <w:lang w:val="en-US" w:eastAsia="zh-CN"/>
        </w:rPr>
        <w:t>4</w:t>
      </w:r>
    </w:p>
    <w:p>
      <w:pPr>
        <w:pStyle w:val="5"/>
        <w:tabs>
          <w:tab w:val="right" w:leader="dot" w:pos="8845"/>
        </w:tabs>
        <w:rPr>
          <w:rFonts w:hint="eastAsia" w:eastAsia="仿宋_GB2312"/>
          <w:lang w:val="en-US" w:eastAsia="zh-CN"/>
        </w:rPr>
      </w:pPr>
      <w:r>
        <w:rPr>
          <w:rFonts w:eastAsia="仿宋_GB2312"/>
          <w:bCs/>
          <w:lang w:val="zh-CN"/>
        </w:rPr>
        <w:fldChar w:fldCharType="begin"/>
      </w:r>
      <w:r>
        <w:rPr>
          <w:rFonts w:eastAsia="仿宋_GB2312"/>
          <w:bCs/>
          <w:lang w:val="zh-CN"/>
        </w:rPr>
        <w:instrText xml:space="preserve"> HYPERLINK \l _Toc187224834 </w:instrText>
      </w:r>
      <w:r>
        <w:rPr>
          <w:rFonts w:eastAsia="仿宋_GB2312"/>
          <w:bCs/>
          <w:lang w:val="zh-CN"/>
        </w:rPr>
        <w:fldChar w:fldCharType="separate"/>
      </w:r>
      <w:r>
        <w:rPr>
          <w:rFonts w:hint="eastAsia" w:ascii="楷体_GB2312" w:eastAsia="楷体_GB2312"/>
          <w:szCs w:val="32"/>
        </w:rPr>
        <w:t>（二）加强能力建设</w:t>
      </w:r>
      <w:r>
        <w:tab/>
      </w:r>
      <w:r>
        <w:rPr>
          <w:rFonts w:hint="eastAsia"/>
          <w:lang w:val="en-US" w:eastAsia="zh-CN"/>
        </w:rPr>
        <w:t>2</w:t>
      </w:r>
      <w:r>
        <w:rPr>
          <w:rFonts w:eastAsia="仿宋_GB2312"/>
          <w:bCs/>
          <w:lang w:val="zh-CN"/>
        </w:rPr>
        <w:fldChar w:fldCharType="end"/>
      </w:r>
      <w:r>
        <w:rPr>
          <w:rFonts w:hint="eastAsia" w:eastAsia="仿宋_GB2312"/>
          <w:bCs/>
          <w:lang w:val="en-US" w:eastAsia="zh-CN"/>
        </w:rPr>
        <w:t>4</w:t>
      </w:r>
    </w:p>
    <w:p>
      <w:pPr>
        <w:pStyle w:val="5"/>
        <w:tabs>
          <w:tab w:val="right" w:leader="dot" w:pos="8845"/>
        </w:tabs>
        <w:rPr>
          <w:rFonts w:hint="eastAsia" w:eastAsia="仿宋_GB2312"/>
          <w:lang w:val="en-US" w:eastAsia="zh-CN"/>
        </w:rPr>
      </w:pPr>
      <w:r>
        <w:rPr>
          <w:rFonts w:eastAsia="仿宋_GB2312"/>
          <w:bCs/>
          <w:lang w:val="zh-CN"/>
        </w:rPr>
        <w:fldChar w:fldCharType="begin"/>
      </w:r>
      <w:r>
        <w:rPr>
          <w:rFonts w:eastAsia="仿宋_GB2312"/>
          <w:bCs/>
          <w:lang w:val="zh-CN"/>
        </w:rPr>
        <w:instrText xml:space="preserve"> HYPERLINK \l _Toc2015339088 </w:instrText>
      </w:r>
      <w:r>
        <w:rPr>
          <w:rFonts w:eastAsia="仿宋_GB2312"/>
          <w:bCs/>
          <w:lang w:val="zh-CN"/>
        </w:rPr>
        <w:fldChar w:fldCharType="separate"/>
      </w:r>
      <w:r>
        <w:rPr>
          <w:rFonts w:hint="eastAsia" w:ascii="楷体_GB2312" w:eastAsia="楷体_GB2312"/>
          <w:szCs w:val="32"/>
        </w:rPr>
        <w:t>（三）深化合作交流</w:t>
      </w:r>
      <w:r>
        <w:tab/>
      </w:r>
      <w:r>
        <w:rPr>
          <w:rFonts w:hint="eastAsia"/>
          <w:lang w:val="en-US" w:eastAsia="zh-CN"/>
        </w:rPr>
        <w:t>2</w:t>
      </w:r>
      <w:r>
        <w:rPr>
          <w:rFonts w:eastAsia="仿宋_GB2312"/>
          <w:bCs/>
          <w:lang w:val="zh-CN"/>
        </w:rPr>
        <w:fldChar w:fldCharType="end"/>
      </w:r>
      <w:r>
        <w:rPr>
          <w:rFonts w:hint="eastAsia" w:eastAsia="仿宋_GB2312"/>
          <w:bCs/>
          <w:lang w:val="en-US" w:eastAsia="zh-CN"/>
        </w:rPr>
        <w:t>5</w:t>
      </w:r>
    </w:p>
    <w:p>
      <w:pPr>
        <w:rPr>
          <w:rFonts w:ascii="仿宋_GB2312" w:eastAsia="仿宋_GB2312"/>
        </w:rPr>
      </w:pPr>
      <w:r>
        <w:rPr>
          <w:rFonts w:eastAsia="仿宋_GB2312"/>
          <w:b/>
          <w:bCs/>
          <w:lang w:val="zh-CN"/>
        </w:rPr>
        <w:fldChar w:fldCharType="end"/>
      </w:r>
    </w:p>
    <w:p>
      <w:pPr>
        <w:rPr>
          <w:rFonts w:hint="eastAsia" w:ascii="方正小标宋简体" w:eastAsia="方正小标宋简体"/>
          <w:sz w:val="32"/>
          <w:szCs w:val="32"/>
        </w:rPr>
      </w:pPr>
    </w:p>
    <w:p>
      <w:pPr>
        <w:widowControl/>
        <w:jc w:val="left"/>
        <w:rPr>
          <w:rFonts w:ascii="方正小标宋简体" w:eastAsia="方正小标宋简体"/>
          <w:sz w:val="32"/>
          <w:szCs w:val="32"/>
        </w:rPr>
        <w:sectPr>
          <w:pgSz w:w="11906" w:h="16838"/>
          <w:pgMar w:top="2098" w:right="1474" w:bottom="1984" w:left="1587" w:header="851" w:footer="1587" w:gutter="0"/>
          <w:cols w:space="720" w:num="1"/>
          <w:docGrid w:type="lines" w:linePitch="312" w:charSpace="0"/>
        </w:sectPr>
      </w:pPr>
      <w:bookmarkStart w:id="77" w:name="_GoBack"/>
      <w:bookmarkEnd w:id="77"/>
    </w:p>
    <w:p>
      <w:pPr>
        <w:adjustRightInd w:val="0"/>
        <w:spacing w:line="660" w:lineRule="exact"/>
        <w:jc w:val="center"/>
        <w:rPr>
          <w:rFonts w:hint="eastAsia" w:ascii="方正小标宋简体" w:eastAsia="方正小标宋简体"/>
          <w:sz w:val="44"/>
          <w:szCs w:val="44"/>
        </w:rPr>
      </w:pPr>
      <w:bookmarkStart w:id="1" w:name="_Toc485391696"/>
      <w:r>
        <w:rPr>
          <w:rFonts w:hint="eastAsia" w:ascii="方正小标宋简体" w:eastAsia="方正小标宋简体"/>
          <w:sz w:val="44"/>
          <w:szCs w:val="44"/>
        </w:rPr>
        <w:t>北京市“十四五”时期</w:t>
      </w:r>
    </w:p>
    <w:p>
      <w:pPr>
        <w:adjustRightInd w:val="0"/>
        <w:spacing w:line="660" w:lineRule="exact"/>
        <w:jc w:val="center"/>
        <w:rPr>
          <w:rFonts w:hint="eastAsia" w:ascii="方正小标宋简体" w:eastAsia="方正小标宋简体"/>
          <w:sz w:val="44"/>
          <w:szCs w:val="44"/>
        </w:rPr>
      </w:pPr>
      <w:r>
        <w:rPr>
          <w:rFonts w:hint="eastAsia" w:ascii="方正小标宋简体" w:eastAsia="方正小标宋简体"/>
          <w:sz w:val="44"/>
          <w:szCs w:val="44"/>
        </w:rPr>
        <w:t>地方生态环境标准发展规划</w:t>
      </w:r>
    </w:p>
    <w:p>
      <w:pPr>
        <w:pStyle w:val="9"/>
        <w:adjustRightInd w:val="0"/>
        <w:spacing w:line="560" w:lineRule="exact"/>
        <w:ind w:firstLine="640"/>
        <w:rPr>
          <w:rFonts w:hint="eastAsia" w:ascii="仿宋_GB2312" w:hAnsi="黑体" w:eastAsia="仿宋_GB2312" w:cs="黑体"/>
          <w:sz w:val="32"/>
          <w:szCs w:val="32"/>
        </w:rPr>
      </w:pPr>
    </w:p>
    <w:p>
      <w:pPr>
        <w:pStyle w:val="9"/>
        <w:spacing w:line="560" w:lineRule="exact"/>
        <w:ind w:firstLine="640"/>
        <w:rPr>
          <w:rFonts w:hint="eastAsia" w:ascii="仿宋_GB2312" w:hAnsi="黑体" w:eastAsia="仿宋_GB2312" w:cs="黑体"/>
          <w:sz w:val="32"/>
          <w:szCs w:val="32"/>
        </w:rPr>
      </w:pPr>
      <w:r>
        <w:rPr>
          <w:rFonts w:hint="eastAsia" w:ascii="仿宋_GB2312" w:hAnsi="黑体" w:eastAsia="仿宋_GB2312" w:cs="黑体"/>
          <w:sz w:val="32"/>
          <w:szCs w:val="32"/>
        </w:rPr>
        <w:t>标准化工作一直是北京市生态环境保护工作的重要组成，对推进生态环境保护各项工作起到重要作用。为</w:t>
      </w:r>
      <w:r>
        <w:rPr>
          <w:rFonts w:hint="eastAsia" w:ascii="仿宋_GB2312" w:eastAsia="仿宋_GB2312" w:cs="楷体_GB2312"/>
          <w:bCs/>
          <w:sz w:val="32"/>
          <w:szCs w:val="32"/>
        </w:rPr>
        <w:t>落实好“十四五”时期生态环境保护重点工作，</w:t>
      </w:r>
      <w:r>
        <w:rPr>
          <w:rFonts w:hint="eastAsia" w:ascii="仿宋_GB2312" w:hAnsi="黑体" w:eastAsia="仿宋_GB2312" w:cs="黑体"/>
          <w:sz w:val="32"/>
          <w:szCs w:val="32"/>
        </w:rPr>
        <w:t>发挥好标准化对生态环境治理体系和治理能力现代化建设的基础性、战略性作用，促进京津冀生态环境保护协同发展，进一步支撑生态环境保护领域工作，根据</w:t>
      </w:r>
      <w:r>
        <w:rPr>
          <w:rFonts w:hint="eastAsia" w:ascii="仿宋_GB2312" w:eastAsia="仿宋_GB2312" w:cs="楷体_GB2312"/>
          <w:bCs/>
          <w:sz w:val="32"/>
          <w:szCs w:val="32"/>
        </w:rPr>
        <w:t>《北京市城市总体规划（2016年-2035年）》和</w:t>
      </w:r>
      <w:r>
        <w:rPr>
          <w:rFonts w:hint="eastAsia" w:ascii="仿宋_GB2312" w:eastAsia="仿宋_GB2312"/>
          <w:sz w:val="32"/>
          <w:szCs w:val="32"/>
        </w:rPr>
        <w:t>北京市国民经济和社会发展第十四个五年规划和二</w:t>
      </w:r>
      <w:r>
        <w:rPr>
          <w:rFonts w:hint="eastAsia" w:ascii="宋体" w:hAnsi="宋体" w:cs="宋体"/>
          <w:sz w:val="32"/>
          <w:szCs w:val="32"/>
        </w:rPr>
        <w:t>〇</w:t>
      </w:r>
      <w:r>
        <w:rPr>
          <w:rFonts w:hint="eastAsia" w:ascii="仿宋_GB2312" w:hAnsi="仿宋_GB2312" w:eastAsia="仿宋_GB2312" w:cs="仿宋_GB2312"/>
          <w:sz w:val="32"/>
          <w:szCs w:val="32"/>
        </w:rPr>
        <w:t>三五</w:t>
      </w:r>
      <w:r>
        <w:rPr>
          <w:rFonts w:hint="eastAsia" w:ascii="仿宋_GB2312" w:eastAsia="仿宋_GB2312"/>
          <w:sz w:val="32"/>
          <w:szCs w:val="32"/>
        </w:rPr>
        <w:t>年远景目标纲要</w:t>
      </w:r>
      <w:r>
        <w:rPr>
          <w:rFonts w:hint="eastAsia" w:ascii="仿宋_GB2312" w:hAnsi="黑体" w:eastAsia="仿宋_GB2312" w:cs="黑体"/>
          <w:sz w:val="32"/>
          <w:szCs w:val="32"/>
        </w:rPr>
        <w:t>，统筹落实国家和北京市生态环境保护和标准化工作部署，制定本规划。</w:t>
      </w:r>
    </w:p>
    <w:p>
      <w:pPr>
        <w:spacing w:line="560" w:lineRule="exact"/>
        <w:ind w:firstLine="640" w:firstLineChars="200"/>
        <w:outlineLvl w:val="0"/>
        <w:rPr>
          <w:rFonts w:hint="eastAsia" w:ascii="黑体" w:hAnsi="黑体" w:eastAsia="黑体"/>
          <w:sz w:val="32"/>
          <w:szCs w:val="32"/>
        </w:rPr>
      </w:pPr>
      <w:bookmarkStart w:id="2" w:name="_Toc96958708"/>
      <w:bookmarkStart w:id="3" w:name="_Toc387381341"/>
      <w:r>
        <w:rPr>
          <w:rFonts w:hint="eastAsia" w:ascii="黑体" w:hAnsi="黑体" w:eastAsia="黑体"/>
          <w:sz w:val="32"/>
          <w:szCs w:val="32"/>
        </w:rPr>
        <w:t>一、规划背景</w:t>
      </w:r>
      <w:bookmarkEnd w:id="2"/>
      <w:bookmarkEnd w:id="3"/>
    </w:p>
    <w:p>
      <w:pPr>
        <w:pStyle w:val="9"/>
        <w:spacing w:line="560" w:lineRule="exact"/>
        <w:ind w:firstLine="640"/>
        <w:rPr>
          <w:rFonts w:hint="eastAsia" w:ascii="仿宋_GB2312" w:hAnsi="黑体" w:eastAsia="仿宋_GB2312" w:cs="Times New Roman"/>
          <w:sz w:val="32"/>
          <w:szCs w:val="32"/>
        </w:rPr>
      </w:pPr>
      <w:r>
        <w:rPr>
          <w:rFonts w:hint="eastAsia" w:ascii="仿宋_GB2312" w:hAnsi="黑体" w:eastAsia="仿宋_GB2312" w:cs="黑体"/>
          <w:sz w:val="32"/>
          <w:szCs w:val="32"/>
        </w:rPr>
        <w:t>“十三五”时期，北京市地方生态环境标准化工作坚持以习近平新时代中国特色社会主义思想为指导，深入贯彻习近平生态文明思想和习近平总书记对北京系列重要讲话精神，紧紧围绕习近平总书记关于“绿水青山就是金山银山”“坚定不移走生态优先、绿色发展之路”的要求，通过不断加强生态环境标准体系建设、完善标准化工作，为深入打好污染防治攻坚战，加强大气、水、土壤污染综合治理，持续改善城乡环境提供支持。充分发挥标准先行的引领和指导作用，强化源头治理，推动资源高效利用，促进重点行业、重要领域绿色化、清洁化发展。</w:t>
      </w:r>
    </w:p>
    <w:p>
      <w:pPr>
        <w:spacing w:line="560" w:lineRule="exact"/>
        <w:ind w:firstLine="640" w:firstLineChars="200"/>
        <w:outlineLvl w:val="1"/>
        <w:rPr>
          <w:rFonts w:hint="eastAsia" w:ascii="楷体_GB2312" w:hAnsi="Calibri" w:eastAsia="楷体_GB2312"/>
          <w:b/>
          <w:sz w:val="32"/>
          <w:szCs w:val="32"/>
        </w:rPr>
      </w:pPr>
      <w:bookmarkStart w:id="4" w:name="_Toc96958709"/>
      <w:bookmarkStart w:id="5" w:name="_Toc2107380256"/>
      <w:r>
        <w:rPr>
          <w:rFonts w:hint="eastAsia" w:ascii="楷体_GB2312" w:eastAsia="楷体_GB2312"/>
          <w:sz w:val="32"/>
          <w:szCs w:val="32"/>
        </w:rPr>
        <w:t>（一）标准体系进一步充实</w:t>
      </w:r>
      <w:bookmarkEnd w:id="4"/>
      <w:bookmarkEnd w:id="5"/>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十三五”期间，紧密围绕国家和地方生态环境保护工作重点，全面部署和实施地方环境保护标准规划。在“十二五”时期标准工作的基础上，增加了应对气候变化领域的标准，制定了农村污水处理设施、有机化学品、电子工业、餐饮业等固定污染源排放标准，并配套制定了监测方法标准和监测技术规范，发布了重型汽车排放标准和第六阶段车用汽油、柴油质量标准，修订了大气综合排放标准、加油站油气排放标准等。截至2020年底，现行有效地方环保标准共97项，其中大气环境保护标准41项，水生态环境保护标准4项，土壤生态环境保护标准8项，应对气候变化标准25项，噪声污染防治标准5项，辐射安全防护标准3项，监测方法和技术规范标准7项，其他标准4项。标准体系要素基本齐全、限值严格适度，在国家标准体系框架下，逐步形成严格先进的地方环境保护标准体系。</w:t>
      </w:r>
    </w:p>
    <w:p>
      <w:pPr>
        <w:spacing w:line="560" w:lineRule="exact"/>
        <w:ind w:firstLine="640" w:firstLineChars="200"/>
        <w:outlineLvl w:val="1"/>
        <w:rPr>
          <w:rFonts w:hint="eastAsia" w:ascii="楷体_GB2312" w:eastAsia="楷体_GB2312" w:cs="仿宋_GB2312"/>
          <w:sz w:val="32"/>
          <w:szCs w:val="32"/>
        </w:rPr>
      </w:pPr>
      <w:bookmarkStart w:id="6" w:name="_Toc96958710"/>
      <w:bookmarkStart w:id="7" w:name="_Toc1453596039"/>
      <w:r>
        <w:rPr>
          <w:rFonts w:hint="eastAsia" w:ascii="楷体_GB2312" w:eastAsia="楷体_GB2312" w:cs="仿宋_GB2312"/>
          <w:sz w:val="32"/>
          <w:szCs w:val="32"/>
        </w:rPr>
        <w:t>（二）标准实施成效更加显著</w:t>
      </w:r>
      <w:bookmarkEnd w:id="6"/>
      <w:bookmarkEnd w:id="7"/>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生态环境标准成为生态环境保护法律法规和政策的重要组成部分。在污染治理和生态环境改善工作中，全市落实首都战略定位，坚持标准先行，以适用性、先进性、前瞻性为原则，以严格的标准为污染防治、环境监管提供依据，有力支撑了生态环境质量的改善。“十三五”期间全市细颗粒物（PM</w:t>
      </w:r>
      <w:r>
        <w:rPr>
          <w:rFonts w:hint="eastAsia" w:ascii="仿宋_GB2312" w:eastAsia="仿宋_GB2312" w:cs="仿宋_GB2312"/>
          <w:sz w:val="32"/>
          <w:szCs w:val="32"/>
          <w:vertAlign w:val="subscript"/>
        </w:rPr>
        <w:t>2.5</w:t>
      </w:r>
      <w:r>
        <w:rPr>
          <w:rFonts w:hint="eastAsia" w:ascii="仿宋_GB2312" w:eastAsia="仿宋_GB2312" w:cs="仿宋_GB2312"/>
          <w:sz w:val="32"/>
          <w:szCs w:val="32"/>
        </w:rPr>
        <w:t>）年均浓度屡创历史新低，2020年首次进入“30+”；水环境质量显著改善，地表水主要污染指标年平均浓度继续降低，国控断面劣V类水体全面消除；土壤环境状况保持良好，土壤环境风险得到有效管控。</w:t>
      </w:r>
    </w:p>
    <w:p>
      <w:pPr>
        <w:spacing w:line="560" w:lineRule="exact"/>
        <w:ind w:firstLine="640" w:firstLineChars="200"/>
        <w:outlineLvl w:val="1"/>
        <w:rPr>
          <w:rFonts w:hint="eastAsia" w:ascii="楷体_GB2312" w:eastAsia="楷体_GB2312" w:cs="仿宋_GB2312"/>
          <w:sz w:val="32"/>
          <w:szCs w:val="32"/>
        </w:rPr>
      </w:pPr>
      <w:bookmarkStart w:id="8" w:name="_Toc96958711"/>
      <w:bookmarkStart w:id="9" w:name="_Toc1049268166"/>
      <w:r>
        <w:rPr>
          <w:rFonts w:hint="eastAsia" w:ascii="楷体_GB2312" w:eastAsia="楷体_GB2312" w:cs="仿宋_GB2312"/>
          <w:sz w:val="32"/>
          <w:szCs w:val="32"/>
        </w:rPr>
        <w:t>（三）区域标准协同实现突破</w:t>
      </w:r>
      <w:bookmarkEnd w:id="8"/>
      <w:bookmarkEnd w:id="9"/>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十三五”期间，京津冀生态环境部门建立区域环保标准合作机制，成立协作机制管理小组，多次召开京津冀区域标准研讨会。2017年发布首个环保领域京津冀区域地方标准《建筑类涂料与胶粘剂挥发性有机化合物含量限值标准》，统一了建筑类涂料与胶粘剂在京津冀地区的生产、销售、使用三个重要环节的挥发性有机物含量（VOCs）限值要求，实现建筑类涂料与胶粘剂VOCs无组织排放的协同减排。北京市通州区与河北省廊坊市北三县加强协作，以改善水环境质量为目标推动流域协同共治，将保护潮白河流域水生态环境作为共同的责任，明确北三县污水处理厂出水统一执行北京市城镇污水处理厂排放标准。</w:t>
      </w:r>
    </w:p>
    <w:p>
      <w:pPr>
        <w:spacing w:line="560" w:lineRule="exact"/>
        <w:ind w:firstLine="640" w:firstLineChars="200"/>
        <w:outlineLvl w:val="0"/>
        <w:rPr>
          <w:rFonts w:hint="eastAsia" w:ascii="黑体" w:hAnsi="黑体" w:eastAsia="黑体"/>
          <w:sz w:val="32"/>
          <w:szCs w:val="32"/>
        </w:rPr>
      </w:pPr>
      <w:bookmarkStart w:id="10" w:name="_Toc96958712"/>
      <w:bookmarkStart w:id="11" w:name="_Toc1622803582"/>
      <w:r>
        <w:rPr>
          <w:rFonts w:hint="eastAsia" w:ascii="黑体" w:hAnsi="黑体" w:eastAsia="黑体"/>
          <w:sz w:val="32"/>
          <w:szCs w:val="32"/>
        </w:rPr>
        <w:t>二、新形势新要求</w:t>
      </w:r>
      <w:bookmarkEnd w:id="10"/>
      <w:bookmarkEnd w:id="11"/>
    </w:p>
    <w:p>
      <w:pPr>
        <w:spacing w:line="560" w:lineRule="exact"/>
        <w:ind w:firstLine="640" w:firstLineChars="200"/>
        <w:rPr>
          <w:rFonts w:hint="eastAsia" w:ascii="仿宋_GB2312" w:hAnsi="Calibri" w:eastAsia="仿宋_GB2312" w:cs="仿宋_GB2312"/>
          <w:sz w:val="32"/>
          <w:szCs w:val="32"/>
        </w:rPr>
      </w:pPr>
      <w:r>
        <w:rPr>
          <w:rFonts w:hint="eastAsia" w:ascii="仿宋_GB2312" w:eastAsia="仿宋_GB2312" w:cs="仿宋_GB2312"/>
          <w:sz w:val="32"/>
          <w:szCs w:val="32"/>
        </w:rPr>
        <w:t>“十四五”时期是我国全面建成小康社会、实现第一个百年奋斗目标之后，乘势而上开启全面建设社会主义现代化国家新征程、向第二个百年奋斗目标进军的第一个五年，也是北京落实首都城市战略定位、建设国际一流的和谐宜居之都的关键时期。在新形势背景下，全市生态环境标准化工作面临着新挑战。</w:t>
      </w:r>
    </w:p>
    <w:p>
      <w:pPr>
        <w:spacing w:line="560" w:lineRule="exact"/>
        <w:ind w:firstLine="640" w:firstLineChars="200"/>
        <w:rPr>
          <w:rFonts w:hint="eastAsia" w:ascii="仿宋_GB2312" w:eastAsia="仿宋_GB2312" w:cs="仿宋_GB2312"/>
          <w:sz w:val="32"/>
          <w:szCs w:val="32"/>
        </w:rPr>
      </w:pPr>
      <w:r>
        <w:rPr>
          <w:rFonts w:hint="eastAsia" w:ascii="楷体_GB2312" w:hAnsi="楷体_GB2312" w:eastAsia="楷体_GB2312" w:cs="楷体_GB2312"/>
          <w:sz w:val="32"/>
          <w:szCs w:val="32"/>
        </w:rPr>
        <w:t>对标生态文明建设战略部署，标准体系仍需完善。</w:t>
      </w:r>
      <w:r>
        <w:rPr>
          <w:rFonts w:hint="eastAsia" w:ascii="仿宋_GB2312" w:eastAsia="仿宋_GB2312" w:cs="仿宋_GB2312"/>
          <w:sz w:val="32"/>
          <w:szCs w:val="32"/>
        </w:rPr>
        <w:t>“十四五”时期，生态文明建设进入了以降碳为重点战略方向、促进经济社会发展全面绿色转型的关键时期。围绕碳减排目标，要以标准化建设为抓手，为有效应对气候变化、加快绿色低碳转型提供基础性支撑。要坚持山水林田湖草沙一体化保护和修复保障自然生态安全，提升生态系统质量和稳定性，对生态保护监管工作提出了更高、更明确的要求。需要针对自然生态环境特点，构建完善的生态保护调查评估、监测监管标准体系，发挥标准化的引领作用。</w:t>
      </w:r>
    </w:p>
    <w:p>
      <w:pPr>
        <w:spacing w:line="560" w:lineRule="exact"/>
        <w:ind w:firstLine="640" w:firstLineChars="200"/>
        <w:rPr>
          <w:rFonts w:hint="eastAsia" w:ascii="仿宋_GB2312" w:eastAsia="仿宋_GB2312" w:cs="仿宋_GB2312"/>
          <w:sz w:val="32"/>
          <w:szCs w:val="32"/>
        </w:rPr>
      </w:pPr>
      <w:r>
        <w:rPr>
          <w:rFonts w:hint="eastAsia" w:ascii="楷体_GB2312" w:hAnsi="楷体_GB2312" w:eastAsia="楷体_GB2312" w:cs="楷体_GB2312"/>
          <w:sz w:val="32"/>
          <w:szCs w:val="32"/>
        </w:rPr>
        <w:t>对标精准、科学、依法治污要求，标准基础需夯实。</w:t>
      </w:r>
      <w:r>
        <w:rPr>
          <w:rFonts w:hint="eastAsia" w:ascii="仿宋_GB2312" w:eastAsia="仿宋_GB2312" w:cs="仿宋_GB2312"/>
          <w:sz w:val="32"/>
          <w:szCs w:val="32"/>
        </w:rPr>
        <w:t>随着产业结构的优化升级，高科技、高精尖产业大力发展，城市运行和生活类污染排放占比升高，本地污染来源已经发生较大变化。要着力构建现代环境治理体系，推进污染排放总量进一步减排，对标准支撑提出了更高更细致的要求。需要紧跟产业发展的步伐和污染源管控重点的变化，充分发挥标准在精细化管理的引领指导作用。</w:t>
      </w:r>
    </w:p>
    <w:p>
      <w:pPr>
        <w:spacing w:line="560" w:lineRule="exact"/>
        <w:ind w:firstLine="640" w:firstLineChars="200"/>
        <w:rPr>
          <w:rFonts w:hint="eastAsia" w:ascii="仿宋_GB2312" w:eastAsia="仿宋_GB2312" w:cs="仿宋_GB2312"/>
          <w:sz w:val="32"/>
          <w:szCs w:val="32"/>
        </w:rPr>
      </w:pPr>
      <w:r>
        <w:rPr>
          <w:rFonts w:hint="eastAsia" w:ascii="楷体_GB2312" w:hAnsi="楷体_GB2312" w:eastAsia="楷体_GB2312" w:cs="楷体_GB2312"/>
          <w:sz w:val="32"/>
          <w:szCs w:val="32"/>
        </w:rPr>
        <w:t>对标以人民为中心发展思想，群众关切亟待回应。</w:t>
      </w:r>
      <w:r>
        <w:rPr>
          <w:rFonts w:hint="eastAsia" w:ascii="仿宋_GB2312" w:eastAsia="仿宋_GB2312" w:cs="仿宋_GB2312"/>
          <w:sz w:val="32"/>
          <w:szCs w:val="32"/>
        </w:rPr>
        <w:t>近年来，全市生态环境质量持续改善，人民群众对生态环境的获得感不断增强。但是目前的生态环境管理体系对于人民群众日益增长的优美生态环境需要仍支撑不足。需要针对人民群众反映集中的油烟、噪声、异味扰民等问题加强标准建设，引导更加精准、科学开展治理，积极回应人民群众关切，努力解决人民群众身边的环境问题。</w:t>
      </w:r>
    </w:p>
    <w:p>
      <w:pPr>
        <w:spacing w:line="560" w:lineRule="exact"/>
        <w:ind w:firstLine="640" w:firstLineChars="200"/>
        <w:rPr>
          <w:rFonts w:hint="eastAsia" w:ascii="仿宋_GB2312" w:eastAsia="仿宋_GB2312" w:cs="仿宋_GB2312"/>
          <w:sz w:val="32"/>
          <w:szCs w:val="32"/>
        </w:rPr>
      </w:pPr>
      <w:r>
        <w:rPr>
          <w:rFonts w:hint="eastAsia" w:ascii="楷体_GB2312" w:hAnsi="楷体_GB2312" w:eastAsia="楷体_GB2312" w:cs="楷体_GB2312"/>
          <w:sz w:val="32"/>
          <w:szCs w:val="32"/>
        </w:rPr>
        <w:t>对标京津冀生态环保协同要求，标准统一仍需加快推进。</w:t>
      </w:r>
      <w:r>
        <w:rPr>
          <w:rFonts w:hint="eastAsia" w:ascii="仿宋_GB2312" w:eastAsia="仿宋_GB2312" w:cs="仿宋_GB2312"/>
          <w:sz w:val="32"/>
          <w:szCs w:val="32"/>
        </w:rPr>
        <w:t>京津冀地区人口资源环境矛盾有所缓解，但区域污染物排放总量仍超过环境容量。落实“十四五”生态环境质量改善目标，更加依赖于区域整体提升。需要在重点领域、重点区域加强标准研究，推进区域标准协同，支撑区域生态环境联保联治。</w:t>
      </w:r>
    </w:p>
    <w:p>
      <w:pPr>
        <w:spacing w:line="560" w:lineRule="exact"/>
        <w:ind w:firstLine="640" w:firstLineChars="200"/>
        <w:outlineLvl w:val="0"/>
        <w:rPr>
          <w:rFonts w:hint="eastAsia" w:ascii="黑体" w:hAnsi="黑体" w:eastAsia="黑体"/>
          <w:sz w:val="32"/>
          <w:szCs w:val="32"/>
        </w:rPr>
      </w:pPr>
      <w:bookmarkStart w:id="12" w:name="_Toc1242597140"/>
      <w:bookmarkStart w:id="13" w:name="_Toc96958713"/>
      <w:r>
        <w:rPr>
          <w:rFonts w:hint="eastAsia" w:ascii="黑体" w:hAnsi="黑体" w:eastAsia="黑体"/>
          <w:sz w:val="32"/>
          <w:szCs w:val="32"/>
        </w:rPr>
        <w:t>三、指导思想和目标</w:t>
      </w:r>
      <w:bookmarkEnd w:id="12"/>
      <w:bookmarkEnd w:id="13"/>
    </w:p>
    <w:p>
      <w:pPr>
        <w:spacing w:line="560" w:lineRule="exact"/>
        <w:ind w:firstLine="640" w:firstLineChars="200"/>
        <w:outlineLvl w:val="1"/>
        <w:rPr>
          <w:rFonts w:hint="eastAsia" w:ascii="楷体_GB2312" w:hAnsi="Calibri" w:eastAsia="楷体_GB2312"/>
          <w:sz w:val="32"/>
          <w:szCs w:val="32"/>
        </w:rPr>
      </w:pPr>
      <w:bookmarkStart w:id="14" w:name="_Toc1012415334"/>
      <w:bookmarkStart w:id="15" w:name="_Toc96958714"/>
      <w:r>
        <w:rPr>
          <w:rFonts w:hint="eastAsia" w:ascii="楷体_GB2312" w:eastAsia="楷体_GB2312"/>
          <w:sz w:val="32"/>
          <w:szCs w:val="32"/>
        </w:rPr>
        <w:t>（一）指导思想</w:t>
      </w:r>
      <w:bookmarkEnd w:id="14"/>
      <w:bookmarkEnd w:id="15"/>
      <w:r>
        <w:rPr>
          <w:rFonts w:hint="eastAsia" w:ascii="楷体_GB2312" w:eastAsia="楷体_GB2312"/>
          <w:sz w:val="32"/>
          <w:szCs w:val="32"/>
        </w:rPr>
        <w:t>　</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习近平新时代中国特色社会主义思想为指导，深入贯彻习近平生态文明思想和习近平总书记对北京一系列重要讲话精神，大力实施绿色北京战略，以生态环境质量改善为核心，以创新绿色低碳为动力，以大气、水和土壤污染防治为重点，</w:t>
      </w:r>
      <w:r>
        <w:rPr>
          <w:rStyle w:val="10"/>
          <w:b w:val="0"/>
          <w:color w:val="000000"/>
          <w:kern w:val="0"/>
          <w:sz w:val="32"/>
          <w:szCs w:val="32"/>
        </w:rPr>
        <w:t>满足环境管理需求，建立支撑适用、协同配套、科学引领、规范高效的生态环境标准体系与管理机制，为生态环境管理提供强有力的标准支持。</w:t>
      </w:r>
    </w:p>
    <w:p>
      <w:pPr>
        <w:spacing w:line="560" w:lineRule="exact"/>
        <w:ind w:firstLine="640" w:firstLineChars="200"/>
        <w:outlineLvl w:val="1"/>
        <w:rPr>
          <w:rFonts w:hint="eastAsia" w:ascii="楷体_GB2312" w:hAnsi="Calibri" w:eastAsia="楷体_GB2312"/>
          <w:sz w:val="32"/>
          <w:szCs w:val="32"/>
        </w:rPr>
      </w:pPr>
      <w:bookmarkStart w:id="16" w:name="_Toc1722594809"/>
      <w:bookmarkStart w:id="17" w:name="_Toc96958715"/>
      <w:r>
        <w:rPr>
          <w:rFonts w:hint="eastAsia" w:ascii="楷体_GB2312" w:eastAsia="楷体_GB2312"/>
          <w:sz w:val="32"/>
          <w:szCs w:val="32"/>
        </w:rPr>
        <w:t>（二）</w:t>
      </w:r>
      <w:bookmarkStart w:id="18" w:name="_Toc268500814"/>
      <w:bookmarkStart w:id="19" w:name="_Toc268522751"/>
      <w:bookmarkStart w:id="20" w:name="_Toc272834467"/>
      <w:bookmarkStart w:id="21" w:name="_Toc478043335"/>
      <w:r>
        <w:rPr>
          <w:rFonts w:hint="eastAsia" w:ascii="楷体_GB2312" w:eastAsia="楷体_GB2312"/>
          <w:sz w:val="32"/>
          <w:szCs w:val="32"/>
        </w:rPr>
        <w:t>基本原则</w:t>
      </w:r>
      <w:bookmarkEnd w:id="16"/>
      <w:bookmarkEnd w:id="17"/>
      <w:bookmarkEnd w:id="18"/>
      <w:bookmarkEnd w:id="19"/>
      <w:bookmarkEnd w:id="20"/>
      <w:bookmarkEnd w:id="21"/>
    </w:p>
    <w:p>
      <w:pPr>
        <w:spacing w:line="560" w:lineRule="exact"/>
        <w:ind w:firstLine="640" w:firstLineChars="200"/>
        <w:rPr>
          <w:rFonts w:hint="eastAsia" w:ascii="仿宋_GB2312" w:eastAsia="仿宋_GB2312" w:cs="仿宋_GB2312"/>
          <w:b/>
          <w:bCs/>
          <w:sz w:val="32"/>
          <w:szCs w:val="32"/>
        </w:rPr>
      </w:pPr>
      <w:bookmarkStart w:id="22" w:name="_Toc462000724"/>
      <w:bookmarkStart w:id="23" w:name="_Toc478043336"/>
      <w:bookmarkStart w:id="24" w:name="_Toc462044916"/>
      <w:bookmarkStart w:id="25" w:name="_Toc462040184"/>
      <w:bookmarkStart w:id="26" w:name="_Toc268500815"/>
      <w:bookmarkStart w:id="27" w:name="_Toc268522752"/>
      <w:bookmarkStart w:id="28" w:name="_Toc457127751"/>
      <w:bookmarkStart w:id="29" w:name="_Toc272834468"/>
      <w:r>
        <w:rPr>
          <w:rFonts w:hint="eastAsia" w:ascii="仿宋_GB2312" w:eastAsia="仿宋_GB2312" w:cs="仿宋_GB2312"/>
          <w:sz w:val="32"/>
          <w:szCs w:val="32"/>
        </w:rPr>
        <w:t>1.</w:t>
      </w:r>
      <w:bookmarkEnd w:id="22"/>
      <w:bookmarkEnd w:id="23"/>
      <w:bookmarkEnd w:id="24"/>
      <w:bookmarkEnd w:id="25"/>
      <w:r>
        <w:rPr>
          <w:rFonts w:hint="eastAsia" w:ascii="仿宋_GB2312" w:eastAsia="仿宋_GB2312" w:cs="仿宋_GB2312"/>
          <w:sz w:val="32"/>
          <w:szCs w:val="32"/>
        </w:rPr>
        <w:t>守正创新，完善体系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现有大气、水、土壤、固体废物等七个重点领域为框架的环境保护标准体系基础上，充实现有重点领域内标准，补充应对气候变化和自然生态保护等领域标准体系，形成结构更加丰满、内容更加完善的地方生态环境标准体系。</w:t>
      </w:r>
    </w:p>
    <w:bookmarkEnd w:id="26"/>
    <w:bookmarkEnd w:id="27"/>
    <w:bookmarkEnd w:id="28"/>
    <w:bookmarkEnd w:id="29"/>
    <w:p>
      <w:pPr>
        <w:spacing w:line="560" w:lineRule="exact"/>
        <w:ind w:firstLine="640" w:firstLineChars="200"/>
        <w:rPr>
          <w:rFonts w:hint="eastAsia" w:ascii="仿宋_GB2312" w:eastAsia="仿宋_GB2312" w:cs="仿宋_GB2312"/>
          <w:sz w:val="32"/>
          <w:szCs w:val="32"/>
        </w:rPr>
      </w:pPr>
      <w:bookmarkStart w:id="30" w:name="_Toc462040185"/>
      <w:bookmarkStart w:id="31" w:name="_Toc457127752"/>
      <w:bookmarkStart w:id="32" w:name="_Toc462044917"/>
      <w:bookmarkStart w:id="33" w:name="_Toc462000725"/>
      <w:bookmarkStart w:id="34" w:name="_Toc478043337"/>
      <w:r>
        <w:rPr>
          <w:rFonts w:hint="eastAsia" w:ascii="仿宋_GB2312" w:eastAsia="仿宋_GB2312" w:cs="仿宋_GB2312"/>
          <w:sz w:val="32"/>
          <w:szCs w:val="32"/>
        </w:rPr>
        <w:t>2.</w:t>
      </w:r>
      <w:bookmarkEnd w:id="30"/>
      <w:bookmarkEnd w:id="31"/>
      <w:bookmarkEnd w:id="32"/>
      <w:bookmarkEnd w:id="33"/>
      <w:bookmarkEnd w:id="34"/>
      <w:r>
        <w:rPr>
          <w:rFonts w:hint="eastAsia" w:ascii="仿宋_GB2312" w:eastAsia="仿宋_GB2312" w:cs="仿宋_GB2312"/>
          <w:sz w:val="32"/>
          <w:szCs w:val="32"/>
        </w:rPr>
        <w:t>目标引领，减排为纲</w:t>
      </w:r>
    </w:p>
    <w:p>
      <w:pPr>
        <w:pStyle w:val="12"/>
        <w:spacing w:line="560" w:lineRule="exact"/>
        <w:ind w:firstLine="640"/>
        <w:rPr>
          <w:rStyle w:val="10"/>
          <w:rFonts w:hint="eastAsia"/>
          <w:b w:val="0"/>
          <w:sz w:val="32"/>
        </w:rPr>
      </w:pPr>
      <w:r>
        <w:rPr>
          <w:rFonts w:hint="eastAsia" w:hAnsi="宋体" w:cs="宋体"/>
          <w:sz w:val="32"/>
          <w:szCs w:val="32"/>
        </w:rPr>
        <w:t>落实“十四五”时期生态环境保护</w:t>
      </w:r>
      <w:r>
        <w:rPr>
          <w:rFonts w:hint="eastAsia" w:hAnsi="宋体" w:cs="宋体"/>
          <w:sz w:val="32"/>
          <w:szCs w:val="32"/>
          <w:lang w:eastAsia="zh-CN"/>
        </w:rPr>
        <w:t>目标</w:t>
      </w:r>
      <w:r>
        <w:rPr>
          <w:rFonts w:hint="eastAsia" w:hAnsi="宋体" w:cs="宋体"/>
          <w:sz w:val="32"/>
          <w:szCs w:val="32"/>
        </w:rPr>
        <w:t>任务</w:t>
      </w:r>
      <w:r>
        <w:rPr>
          <w:rStyle w:val="10"/>
          <w:sz w:val="32"/>
          <w:szCs w:val="32"/>
        </w:rPr>
        <w:t>，</w:t>
      </w:r>
      <w:r>
        <w:rPr>
          <w:rStyle w:val="10"/>
          <w:b w:val="0"/>
          <w:sz w:val="32"/>
          <w:szCs w:val="32"/>
        </w:rPr>
        <w:t>聚焦重点领域污染物减排和绿色低碳发展，结合污染源管控要求，制定适宜的标准项目计划，对生态环境标准体系进行动态更新、持续维护，</w:t>
      </w:r>
      <w:r>
        <w:rPr>
          <w:rStyle w:val="10"/>
          <w:rFonts w:hint="eastAsia"/>
          <w:b w:val="0"/>
          <w:sz w:val="32"/>
          <w:szCs w:val="32"/>
          <w:lang w:eastAsia="zh-CN"/>
        </w:rPr>
        <w:t>保持</w:t>
      </w:r>
      <w:r>
        <w:rPr>
          <w:rStyle w:val="10"/>
          <w:b w:val="0"/>
          <w:sz w:val="32"/>
          <w:szCs w:val="32"/>
        </w:rPr>
        <w:t>标准体系</w:t>
      </w:r>
      <w:r>
        <w:rPr>
          <w:rStyle w:val="10"/>
          <w:rFonts w:hint="eastAsia"/>
          <w:b w:val="0"/>
          <w:sz w:val="32"/>
          <w:szCs w:val="32"/>
          <w:lang w:eastAsia="zh-CN"/>
        </w:rPr>
        <w:t>高效、适用</w:t>
      </w:r>
      <w:r>
        <w:rPr>
          <w:rStyle w:val="10"/>
          <w:b w:val="0"/>
          <w:sz w:val="32"/>
          <w:szCs w:val="32"/>
        </w:rPr>
        <w:t>。</w:t>
      </w:r>
    </w:p>
    <w:p>
      <w:pPr>
        <w:spacing w:line="560" w:lineRule="exact"/>
        <w:ind w:firstLine="640" w:firstLineChars="200"/>
        <w:rPr>
          <w:rFonts w:cs="仿宋_GB2312"/>
        </w:rPr>
      </w:pPr>
      <w:r>
        <w:rPr>
          <w:rFonts w:hint="eastAsia" w:ascii="仿宋_GB2312" w:eastAsia="仿宋_GB2312" w:cs="仿宋_GB2312"/>
          <w:sz w:val="32"/>
          <w:szCs w:val="32"/>
        </w:rPr>
        <w:t>3.问题导向，精准提升</w:t>
      </w:r>
    </w:p>
    <w:p>
      <w:pPr>
        <w:pStyle w:val="12"/>
        <w:spacing w:line="560" w:lineRule="exact"/>
        <w:ind w:firstLine="640"/>
        <w:rPr>
          <w:rFonts w:hint="eastAsia"/>
          <w:sz w:val="32"/>
          <w:szCs w:val="32"/>
        </w:rPr>
      </w:pPr>
      <w:r>
        <w:rPr>
          <w:rFonts w:hint="eastAsia"/>
          <w:sz w:val="32"/>
          <w:szCs w:val="32"/>
        </w:rPr>
        <w:t>聚焦市民反映集中的生态环境问题，开展恶臭、噪声扰民等问题排查，着力补齐相关领域标准短板，以标准化带动环境治理能力提升</w:t>
      </w:r>
      <w:r>
        <w:rPr>
          <w:rFonts w:hint="eastAsia"/>
          <w:sz w:val="32"/>
          <w:szCs w:val="32"/>
          <w:lang w:eastAsia="zh-CN"/>
        </w:rPr>
        <w:t>。</w:t>
      </w:r>
      <w:r>
        <w:rPr>
          <w:rFonts w:hint="eastAsia"/>
          <w:sz w:val="32"/>
          <w:szCs w:val="32"/>
        </w:rPr>
        <w:t>聚焦京津冀重点区域协同共治，研究区域地方标准，以“统一标准”支撑“统一管控”，实现</w:t>
      </w:r>
      <w:r>
        <w:rPr>
          <w:rFonts w:hint="eastAsia"/>
          <w:sz w:val="32"/>
          <w:szCs w:val="32"/>
          <w:lang w:eastAsia="zh-CN"/>
        </w:rPr>
        <w:t>协同</w:t>
      </w:r>
      <w:r>
        <w:rPr>
          <w:rFonts w:hint="eastAsia"/>
          <w:sz w:val="32"/>
          <w:szCs w:val="32"/>
        </w:rPr>
        <w:t>发展。</w:t>
      </w:r>
    </w:p>
    <w:p>
      <w:pPr>
        <w:spacing w:line="560" w:lineRule="exact"/>
        <w:ind w:firstLine="640" w:firstLineChars="200"/>
        <w:rPr>
          <w:rFonts w:hint="eastAsia" w:ascii="仿宋_GB2312" w:eastAsia="仿宋_GB2312" w:cs="仿宋_GB2312"/>
          <w:sz w:val="32"/>
          <w:szCs w:val="32"/>
        </w:rPr>
      </w:pPr>
      <w:bookmarkStart w:id="35" w:name="_Toc478043338"/>
      <w:r>
        <w:rPr>
          <w:rFonts w:hint="eastAsia" w:ascii="仿宋_GB2312" w:eastAsia="仿宋_GB2312" w:cs="仿宋_GB2312"/>
          <w:sz w:val="32"/>
          <w:szCs w:val="32"/>
        </w:rPr>
        <w:t>4.</w:t>
      </w:r>
      <w:bookmarkEnd w:id="35"/>
      <w:bookmarkStart w:id="36" w:name="_Toc450049480"/>
      <w:bookmarkEnd w:id="36"/>
      <w:r>
        <w:rPr>
          <w:rFonts w:hint="eastAsia" w:ascii="仿宋_GB2312" w:eastAsia="仿宋_GB2312" w:cs="仿宋_GB2312"/>
          <w:sz w:val="32"/>
          <w:szCs w:val="32"/>
        </w:rPr>
        <w:t>科技支撑，技术可行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强化标准制修订过程中对行业基本情况、污染物排放情况和先进治理技术的调查研究，加强标准的环境效益和经济成本分析，提高标准的科学性和可操作性。发挥科技和人才优势，对已发布标准的实施情况和执法检查情况及时跟踪，适时对标准的科学性进行评估并及时进行修订。</w:t>
      </w:r>
    </w:p>
    <w:p>
      <w:pPr>
        <w:spacing w:line="560" w:lineRule="exact"/>
        <w:ind w:firstLine="640" w:firstLineChars="200"/>
        <w:outlineLvl w:val="1"/>
        <w:rPr>
          <w:rFonts w:hint="eastAsia" w:ascii="楷体_GB2312" w:eastAsia="楷体_GB2312"/>
          <w:sz w:val="32"/>
          <w:szCs w:val="32"/>
        </w:rPr>
      </w:pPr>
      <w:bookmarkStart w:id="37" w:name="_Toc1447886447"/>
      <w:bookmarkStart w:id="38" w:name="_Toc96958716"/>
      <w:r>
        <w:rPr>
          <w:rFonts w:hint="eastAsia" w:ascii="楷体_GB2312" w:eastAsia="楷体_GB2312"/>
          <w:sz w:val="32"/>
          <w:szCs w:val="32"/>
        </w:rPr>
        <w:t>（三）</w:t>
      </w:r>
      <w:bookmarkEnd w:id="1"/>
      <w:r>
        <w:rPr>
          <w:rFonts w:hint="eastAsia" w:ascii="楷体_GB2312" w:eastAsia="楷体_GB2312"/>
          <w:sz w:val="32"/>
          <w:szCs w:val="32"/>
        </w:rPr>
        <w:t>规划目标</w:t>
      </w:r>
      <w:bookmarkEnd w:id="37"/>
      <w:bookmarkEnd w:id="38"/>
    </w:p>
    <w:p>
      <w:pPr>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建立更加符合首都城市战略定位、与环境保护发展相匹配、与国家生态环境标准建设和体系更加衔接的先进地方生态环境标准体系。更加注重标准质量和应用，提高标准制修订的方向引领性、技术先进性、减排有效性、操作可行性。</w:t>
      </w:r>
      <w:r>
        <w:rPr>
          <w:rFonts w:hint="eastAsia" w:ascii="仿宋_GB2312" w:eastAsia="仿宋_GB2312" w:cs="仿宋_GB2312"/>
          <w:bCs/>
          <w:kern w:val="0"/>
          <w:sz w:val="32"/>
          <w:szCs w:val="32"/>
        </w:rPr>
        <w:t>提高对生态环境管理科学化、精细化水平的支撑能力。</w:t>
      </w:r>
      <w:r>
        <w:rPr>
          <w:rFonts w:hint="eastAsia" w:ascii="仿宋_GB2312" w:eastAsia="仿宋_GB2312" w:cs="仿宋_GB2312"/>
          <w:kern w:val="0"/>
          <w:sz w:val="32"/>
          <w:szCs w:val="32"/>
        </w:rPr>
        <w:t>探索京津冀生态环境标准协同的新路径，支持深化区域标准化协同。</w:t>
      </w:r>
    </w:p>
    <w:p>
      <w:pPr>
        <w:spacing w:line="560" w:lineRule="exact"/>
        <w:ind w:firstLine="640" w:firstLineChars="200"/>
        <w:outlineLvl w:val="0"/>
        <w:rPr>
          <w:rFonts w:hint="eastAsia" w:ascii="黑体" w:hAnsi="黑体" w:eastAsia="黑体"/>
          <w:sz w:val="32"/>
          <w:szCs w:val="32"/>
        </w:rPr>
      </w:pPr>
      <w:bookmarkStart w:id="39" w:name="_Toc96958717"/>
      <w:bookmarkStart w:id="40" w:name="_Toc485391699"/>
      <w:bookmarkStart w:id="41" w:name="_Toc419214750"/>
      <w:bookmarkStart w:id="42" w:name="_Toc2068509855"/>
      <w:r>
        <w:rPr>
          <w:rFonts w:hint="eastAsia" w:ascii="黑体" w:hAnsi="黑体" w:eastAsia="黑体"/>
          <w:sz w:val="32"/>
          <w:szCs w:val="32"/>
        </w:rPr>
        <w:t>四、主要任务与重点项目</w:t>
      </w:r>
      <w:bookmarkEnd w:id="39"/>
      <w:bookmarkEnd w:id="40"/>
      <w:bookmarkEnd w:id="41"/>
      <w:bookmarkEnd w:id="42"/>
      <w:bookmarkStart w:id="43" w:name="_Toc419214751"/>
      <w:bookmarkStart w:id="44" w:name="_Toc485391700"/>
    </w:p>
    <w:p>
      <w:pPr>
        <w:spacing w:line="560" w:lineRule="exact"/>
        <w:ind w:firstLine="640" w:firstLineChars="200"/>
        <w:outlineLvl w:val="1"/>
        <w:rPr>
          <w:rFonts w:hint="eastAsia" w:ascii="楷体_GB2312" w:hAnsi="Calibri" w:eastAsia="楷体_GB2312"/>
          <w:sz w:val="32"/>
          <w:szCs w:val="32"/>
        </w:rPr>
      </w:pPr>
      <w:bookmarkStart w:id="45" w:name="_Toc176423191"/>
      <w:bookmarkStart w:id="46" w:name="_Toc96958718"/>
      <w:r>
        <w:rPr>
          <w:rFonts w:hint="eastAsia" w:ascii="楷体_GB2312" w:eastAsia="楷体_GB2312"/>
          <w:sz w:val="32"/>
          <w:szCs w:val="32"/>
        </w:rPr>
        <w:t>（一）健全生态环境标准体系</w:t>
      </w:r>
      <w:bookmarkEnd w:id="45"/>
      <w:bookmarkEnd w:id="46"/>
    </w:p>
    <w:p>
      <w:pPr>
        <w:spacing w:line="560" w:lineRule="exact"/>
        <w:ind w:firstLine="640" w:firstLineChars="200"/>
        <w:rPr>
          <w:rFonts w:hint="eastAsia" w:ascii="仿宋_GB2312" w:eastAsia="仿宋_GB2312" w:cs="楷体_GB2312"/>
          <w:bCs/>
          <w:sz w:val="32"/>
          <w:szCs w:val="32"/>
        </w:rPr>
      </w:pPr>
      <w:r>
        <w:rPr>
          <w:rFonts w:hint="eastAsia" w:ascii="仿宋_GB2312" w:eastAsia="仿宋_GB2312" w:cs="楷体_GB2312"/>
          <w:bCs/>
          <w:sz w:val="32"/>
          <w:szCs w:val="32"/>
        </w:rPr>
        <w:t>在原环境保护标准体系的基础上，开展应对气候变化标准以及自然生态保护标准体系建设工作，同时逐步完善原体系结构内容，建设结构更加完整、层次更加清晰的生态环境标准体系。</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1.扩展应对气候变化标准体系</w:t>
      </w:r>
    </w:p>
    <w:p>
      <w:pPr>
        <w:spacing w:line="560" w:lineRule="exact"/>
        <w:ind w:firstLine="640" w:firstLineChars="200"/>
        <w:rPr>
          <w:rFonts w:hint="eastAsia" w:ascii="仿宋_GB2312" w:eastAsia="仿宋_GB2312" w:cs="楷体_GB2312"/>
          <w:bCs/>
          <w:sz w:val="32"/>
          <w:szCs w:val="32"/>
        </w:rPr>
      </w:pPr>
      <w:r>
        <w:rPr>
          <w:rFonts w:hint="eastAsia" w:ascii="仿宋_GB2312" w:eastAsia="仿宋_GB2312" w:cs="楷体_GB2312"/>
          <w:bCs/>
          <w:sz w:val="32"/>
          <w:szCs w:val="32"/>
        </w:rPr>
        <w:t>主动落实碳减排碳中和（以下简称“双碳”工作）的重大战略部署，积极谋划应对气候变化工作标准化建设，发挥标准引领作用。通过标准化服务碳市场，明确碳排放单位核算和报告要求；</w:t>
      </w:r>
      <w:r>
        <w:rPr>
          <w:rFonts w:hint="eastAsia" w:ascii="仿宋_GB2312" w:eastAsia="仿宋_GB2312" w:cs="楷体_GB2312"/>
          <w:bCs/>
          <w:color w:val="000000"/>
          <w:sz w:val="32"/>
          <w:szCs w:val="32"/>
        </w:rPr>
        <w:t>开展碳中和相关标准研究，统一碳中和实施流程和声明内容等要求，指导企业、冬奥会大型活动等开展碳中和工作；</w:t>
      </w:r>
      <w:r>
        <w:rPr>
          <w:rFonts w:hint="eastAsia" w:ascii="仿宋_GB2312" w:eastAsia="仿宋_GB2312" w:cs="楷体_GB2312"/>
          <w:bCs/>
          <w:sz w:val="32"/>
          <w:szCs w:val="32"/>
        </w:rPr>
        <w:t>充分考虑“减污降碳”与科技、能源、产业、交通、建筑等领域之间的协作关系，将绿色低碳理念融入生产方式、生活方式、空间格局。</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2.构建自然生态保护标准体系</w:t>
      </w:r>
    </w:p>
    <w:p>
      <w:pPr>
        <w:spacing w:line="560" w:lineRule="exact"/>
        <w:ind w:firstLine="640" w:firstLineChars="200"/>
        <w:rPr>
          <w:rFonts w:hint="eastAsia" w:ascii="仿宋_GB2312" w:eastAsia="仿宋_GB2312" w:cs="楷体_GB2312"/>
          <w:bCs/>
          <w:sz w:val="32"/>
          <w:szCs w:val="32"/>
        </w:rPr>
      </w:pPr>
      <w:r>
        <w:rPr>
          <w:rFonts w:hint="eastAsia" w:ascii="仿宋_GB2312" w:eastAsia="仿宋_GB2312" w:cs="楷体_GB2312"/>
          <w:bCs/>
          <w:sz w:val="32"/>
          <w:szCs w:val="32"/>
        </w:rPr>
        <w:t>深入贯彻落实习近平生态文明思想，牢固树立“绿水青山就是金山银山”理念，积极推进自然生态保护标准建设。落实《北京市生态涵养区生态保护和绿色发展条例》，通过开展生态环境评价及相关配套标准建设，更加科学、细致地掌握全市生态环境质量状况和重点区域环境质量变化趋势；扎实推进生态空间监管工作，以标准支撑遥感监测、实地核查，提高生态空间监管时效性与准确性；积极开展生物多样性保护工作，以标准化文件指导、服务生物多样性本底调查、监测评估、监管执法等工作。</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3.构建“十四五”时期生态环境标准新体系</w:t>
      </w:r>
    </w:p>
    <w:p>
      <w:pPr>
        <w:spacing w:line="560" w:lineRule="exact"/>
        <w:ind w:firstLine="640" w:firstLineChars="200"/>
        <w:rPr>
          <w:rFonts w:hint="eastAsia" w:ascii="仿宋_GB2312" w:hAnsi="宋体" w:eastAsia="仿宋_GB2312"/>
          <w:kern w:val="0"/>
          <w:sz w:val="32"/>
          <w:szCs w:val="32"/>
        </w:rPr>
      </w:pPr>
      <w:r>
        <w:rPr>
          <w:rFonts w:hint="eastAsia" w:ascii="仿宋_GB2312" w:eastAsia="仿宋_GB2312" w:cs="楷体_GB2312"/>
          <w:bCs/>
          <w:sz w:val="32"/>
          <w:szCs w:val="32"/>
        </w:rPr>
        <w:t>在“十三五”时期环保标准体系基础上，扩展应对气候变化和自然生态保护两个领域。</w:t>
      </w:r>
      <w:r>
        <w:rPr>
          <w:rFonts w:hint="eastAsia" w:ascii="仿宋_GB2312" w:hAnsi="宋体" w:eastAsia="仿宋_GB2312"/>
          <w:kern w:val="0"/>
          <w:sz w:val="32"/>
          <w:szCs w:val="32"/>
        </w:rPr>
        <w:t>最终建立“两个层次、九个重点领域”（见图1）的北京市生态环境标准体系。</w:t>
      </w:r>
    </w:p>
    <w:p>
      <w:pPr>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两个层次”分别为强制性标准和非强制性（推荐性）标准。其中强制性标准以环境质量标准、污染物排放（控制）标准为主体；非强制性标准包括监测方法标准、污染防治技术规范、环境影响评价技术导则等管理标准。</w:t>
      </w:r>
    </w:p>
    <w:p>
      <w:pPr>
        <w:spacing w:line="560" w:lineRule="exact"/>
        <w:rPr>
          <w:rFonts w:hint="eastAsia" w:ascii="仿宋_GB2312" w:hAnsi="宋体" w:eastAsia="仿宋_GB2312"/>
          <w:kern w:val="0"/>
          <w:sz w:val="32"/>
          <w:szCs w:val="32"/>
        </w:rPr>
      </w:pPr>
    </w:p>
    <w:p>
      <w:pPr>
        <w:spacing w:line="560" w:lineRule="exact"/>
        <w:rPr>
          <w:rFonts w:hint="eastAsia" w:ascii="仿宋_GB2312" w:hAnsi="宋体" w:eastAsia="仿宋_GB2312"/>
          <w:kern w:val="0"/>
          <w:sz w:val="32"/>
          <w:szCs w:val="32"/>
        </w:rPr>
      </w:pPr>
    </w:p>
    <w:p>
      <w:pPr>
        <w:spacing w:line="560" w:lineRule="exact"/>
        <w:ind w:firstLine="640" w:firstLineChars="200"/>
        <w:rPr>
          <w:rFonts w:hint="eastAsia" w:ascii="仿宋_GB2312" w:hAnsi="宋体" w:eastAsia="仿宋_GB2312"/>
          <w:kern w:val="0"/>
          <w:sz w:val="32"/>
          <w:szCs w:val="32"/>
        </w:rPr>
      </w:pPr>
    </w:p>
    <w:p>
      <w:pPr>
        <w:spacing w:line="560" w:lineRule="exact"/>
        <w:rPr>
          <w:rFonts w:hint="eastAsia" w:ascii="仿宋_GB2312" w:hAnsi="宋体" w:eastAsia="仿宋_GB2312"/>
          <w:kern w:val="0"/>
          <w:sz w:val="32"/>
          <w:szCs w:val="32"/>
        </w:rPr>
      </w:pPr>
    </w:p>
    <w:p>
      <w:pPr>
        <w:spacing w:line="560" w:lineRule="exact"/>
        <w:rPr>
          <w:rFonts w:hint="eastAsia" w:ascii="仿宋_GB2312" w:hAnsi="宋体" w:eastAsia="仿宋_GB2312"/>
          <w:kern w:val="0"/>
          <w:sz w:val="32"/>
          <w:szCs w:val="32"/>
        </w:rPr>
      </w:pPr>
    </w:p>
    <w:p>
      <w:pPr>
        <w:spacing w:line="560" w:lineRule="exact"/>
        <w:rPr>
          <w:rFonts w:hint="eastAsia" w:ascii="仿宋_GB2312" w:hAnsi="宋体" w:eastAsia="仿宋_GB2312"/>
          <w:kern w:val="0"/>
          <w:sz w:val="32"/>
          <w:szCs w:val="32"/>
        </w:rPr>
      </w:pPr>
    </w:p>
    <w:p>
      <w:pPr>
        <w:spacing w:line="560" w:lineRule="exact"/>
        <w:rPr>
          <w:rFonts w:hint="eastAsia" w:ascii="仿宋_GB2312" w:hAnsi="宋体" w:eastAsia="仿宋_GB2312"/>
          <w:kern w:val="0"/>
          <w:sz w:val="32"/>
          <w:szCs w:val="32"/>
        </w:rPr>
      </w:pPr>
    </w:p>
    <w:p>
      <w:pPr>
        <w:spacing w:line="560" w:lineRule="exact"/>
        <w:rPr>
          <w:rFonts w:hint="eastAsia" w:ascii="仿宋_GB2312" w:hAnsi="宋体" w:eastAsia="仿宋_GB2312"/>
          <w:kern w:val="0"/>
          <w:sz w:val="32"/>
          <w:szCs w:val="32"/>
        </w:rPr>
      </w:pPr>
    </w:p>
    <w:p>
      <w:pPr>
        <w:spacing w:line="560" w:lineRule="exact"/>
        <w:rPr>
          <w:rFonts w:hint="eastAsia" w:ascii="仿宋_GB2312" w:hAnsi="宋体" w:eastAsia="仿宋_GB2312"/>
          <w:kern w:val="0"/>
          <w:sz w:val="32"/>
          <w:szCs w:val="32"/>
        </w:rPr>
      </w:pPr>
    </w:p>
    <w:p>
      <w:pPr>
        <w:spacing w:line="560" w:lineRule="exact"/>
        <w:rPr>
          <w:rFonts w:hint="eastAsia" w:ascii="仿宋_GB2312" w:hAnsi="宋体" w:eastAsia="仿宋_GB2312"/>
          <w:kern w:val="0"/>
          <w:sz w:val="32"/>
          <w:szCs w:val="32"/>
        </w:rPr>
      </w:pPr>
      <w:r>
        <w:rPr>
          <w:rFonts w:ascii="Calibri" w:hAnsi="Calibri"/>
          <w:szCs w:val="22"/>
        </w:rPr>
        <mc:AlternateContent>
          <mc:Choice Requires="wpg">
            <w:drawing>
              <wp:inline distT="0" distB="0" distL="114300" distR="114300">
                <wp:extent cx="5798185" cy="3241675"/>
                <wp:effectExtent l="0" t="4445" r="12065" b="11430"/>
                <wp:docPr id="18" name="组合 18"/>
                <wp:cNvGraphicFramePr/>
                <a:graphic xmlns:a="http://schemas.openxmlformats.org/drawingml/2006/main">
                  <a:graphicData uri="http://schemas.microsoft.com/office/word/2010/wordprocessingGroup">
                    <wpg:wgp>
                      <wpg:cNvGrpSpPr>
                        <a:grpSpLocks noRot="1"/>
                      </wpg:cNvGrpSpPr>
                      <wpg:grpSpPr>
                        <a:xfrm>
                          <a:off x="0" y="0"/>
                          <a:ext cx="5798185" cy="3241675"/>
                          <a:chOff x="0" y="0"/>
                          <a:chExt cx="58435" cy="33724"/>
                        </a:xfrm>
                      </wpg:grpSpPr>
                      <wpg:grpSp>
                        <wpg:cNvPr id="5" name="组合 5"/>
                        <wpg:cNvGrpSpPr/>
                        <wpg:grpSpPr>
                          <a:xfrm>
                            <a:off x="475" y="3206"/>
                            <a:ext cx="40248" cy="9480"/>
                            <a:chOff x="0" y="0"/>
                            <a:chExt cx="40248" cy="9480"/>
                          </a:xfrm>
                        </wpg:grpSpPr>
                        <wps:wsp>
                          <wps:cNvPr id="1" name="文本框 1"/>
                          <wps:cNvSpPr txBox="1"/>
                          <wps:spPr>
                            <a:xfrm>
                              <a:off x="0" y="1900"/>
                              <a:ext cx="17570" cy="5340"/>
                            </a:xfrm>
                            <a:prstGeom prst="rect">
                              <a:avLst/>
                            </a:prstGeom>
                            <a:solidFill>
                              <a:srgbClr val="FFFFFF"/>
                            </a:solidFill>
                            <a:ln>
                              <a:noFill/>
                            </a:ln>
                          </wps:spPr>
                          <wps:txbx>
                            <w:txbxContent>
                              <w:p>
                                <w:pPr>
                                  <w:rPr>
                                    <w:rFonts w:ascii="仿宋_GB2312" w:eastAsia="仿宋_GB2312"/>
                                    <w:b/>
                                    <w:sz w:val="28"/>
                                    <w:szCs w:val="28"/>
                                  </w:rPr>
                                </w:pPr>
                                <w:r>
                                  <w:rPr>
                                    <w:rFonts w:hint="eastAsia" w:ascii="仿宋_GB2312" w:hAnsi="仿宋" w:eastAsia="仿宋_GB2312"/>
                                    <w:b/>
                                    <w:bCs/>
                                    <w:sz w:val="28"/>
                                    <w:szCs w:val="28"/>
                                  </w:rPr>
                                  <w:t>层次一:强制性标准</w:t>
                                </w:r>
                              </w:p>
                            </w:txbxContent>
                          </wps:txbx>
                          <wps:bodyPr upright="1"/>
                        </wps:wsp>
                        <wpg:grpSp>
                          <wpg:cNvPr id="4" name="组合 4"/>
                          <wpg:cNvGrpSpPr/>
                          <wpg:grpSpPr>
                            <a:xfrm>
                              <a:off x="16657" y="0"/>
                              <a:ext cx="23591" cy="9480"/>
                              <a:chOff x="-917" y="0"/>
                              <a:chExt cx="23590" cy="9480"/>
                            </a:xfrm>
                          </wpg:grpSpPr>
                          <wps:wsp>
                            <wps:cNvPr id="2" name="左大括号 2"/>
                            <wps:cNvSpPr/>
                            <wps:spPr>
                              <a:xfrm>
                                <a:off x="-917" y="1455"/>
                                <a:ext cx="1383" cy="5785"/>
                              </a:xfrm>
                              <a:prstGeom prst="leftBrace">
                                <a:avLst>
                                  <a:gd name="adj1" fmla="val 46244"/>
                                  <a:gd name="adj2" fmla="val 50000"/>
                                </a:avLst>
                              </a:prstGeom>
                              <a:noFill/>
                              <a:ln w="9525" cap="flat" cmpd="sng">
                                <a:solidFill>
                                  <a:srgbClr val="000000"/>
                                </a:solidFill>
                                <a:prstDash val="solid"/>
                                <a:headEnd type="none" w="med" len="med"/>
                                <a:tailEnd type="none" w="med" len="med"/>
                              </a:ln>
                            </wps:spPr>
                            <wps:bodyPr upright="1"/>
                          </wps:wsp>
                          <wps:wsp>
                            <wps:cNvPr id="3" name="文本框 3"/>
                            <wps:cNvSpPr txBox="1"/>
                            <wps:spPr>
                              <a:xfrm>
                                <a:off x="466" y="0"/>
                                <a:ext cx="22206" cy="9480"/>
                              </a:xfrm>
                              <a:prstGeom prst="rect">
                                <a:avLst/>
                              </a:prstGeom>
                              <a:solidFill>
                                <a:srgbClr val="FFFFFF"/>
                              </a:solidFill>
                              <a:ln>
                                <a:noFill/>
                              </a:ln>
                            </wps:spPr>
                            <wps:txbx>
                              <w:txbxContent>
                                <w:p>
                                  <w:pPr>
                                    <w:jc w:val="left"/>
                                    <w:rPr>
                                      <w:rFonts w:ascii="仿宋_GB2312" w:hAnsi="仿宋" w:eastAsia="仿宋_GB2312"/>
                                      <w:bCs/>
                                      <w:sz w:val="28"/>
                                      <w:szCs w:val="28"/>
                                    </w:rPr>
                                  </w:pPr>
                                  <w:r>
                                    <w:rPr>
                                      <w:rFonts w:hint="eastAsia" w:ascii="仿宋_GB2312" w:hAnsi="仿宋" w:eastAsia="仿宋_GB2312"/>
                                      <w:bCs/>
                                      <w:sz w:val="28"/>
                                      <w:szCs w:val="28"/>
                                    </w:rPr>
                                    <w:t>环境质量标准</w:t>
                                  </w:r>
                                </w:p>
                                <w:p>
                                  <w:pPr>
                                    <w:jc w:val="left"/>
                                    <w:rPr>
                                      <w:rFonts w:hint="eastAsia" w:ascii="仿宋_GB2312" w:hAnsi="仿宋" w:eastAsia="仿宋_GB2312"/>
                                      <w:bCs/>
                                      <w:sz w:val="28"/>
                                      <w:szCs w:val="28"/>
                                    </w:rPr>
                                  </w:pPr>
                                  <w:r>
                                    <w:rPr>
                                      <w:rFonts w:hint="eastAsia" w:ascii="仿宋_GB2312" w:hAnsi="仿宋" w:eastAsia="仿宋_GB2312"/>
                                      <w:bCs/>
                                      <w:sz w:val="28"/>
                                      <w:szCs w:val="28"/>
                                    </w:rPr>
                                    <w:t>污染物排放(控制)标准</w:t>
                                  </w:r>
                                </w:p>
                              </w:txbxContent>
                            </wps:txbx>
                            <wps:bodyPr upright="1"/>
                          </wps:wsp>
                        </wpg:grpSp>
                      </wpg:grpSp>
                      <wpg:grpSp>
                        <wpg:cNvPr id="10" name="组合 10"/>
                        <wpg:cNvGrpSpPr/>
                        <wpg:grpSpPr>
                          <a:xfrm>
                            <a:off x="0" y="16148"/>
                            <a:ext cx="41201" cy="15900"/>
                            <a:chOff x="0" y="-120"/>
                            <a:chExt cx="41201" cy="15900"/>
                          </a:xfrm>
                        </wpg:grpSpPr>
                        <wpg:grpSp>
                          <wpg:cNvPr id="8" name="组合 8"/>
                          <wpg:cNvGrpSpPr/>
                          <wpg:grpSpPr>
                            <a:xfrm>
                              <a:off x="0" y="1184"/>
                              <a:ext cx="19699" cy="12827"/>
                              <a:chOff x="0" y="-358"/>
                              <a:chExt cx="19699" cy="12827"/>
                            </a:xfrm>
                          </wpg:grpSpPr>
                          <wps:wsp>
                            <wps:cNvPr id="6" name="文本框 6"/>
                            <wps:cNvSpPr txBox="1"/>
                            <wps:spPr>
                              <a:xfrm>
                                <a:off x="0" y="3800"/>
                                <a:ext cx="19348" cy="4508"/>
                              </a:xfrm>
                              <a:prstGeom prst="rect">
                                <a:avLst/>
                              </a:prstGeom>
                              <a:solidFill>
                                <a:srgbClr val="FFFFFF"/>
                              </a:solidFill>
                              <a:ln>
                                <a:noFill/>
                              </a:ln>
                            </wps:spPr>
                            <wps:txbx>
                              <w:txbxContent>
                                <w:p>
                                  <w:pPr>
                                    <w:rPr>
                                      <w:rFonts w:ascii="仿宋_GB2312" w:eastAsia="仿宋_GB2312"/>
                                      <w:b/>
                                      <w:sz w:val="28"/>
                                      <w:szCs w:val="28"/>
                                    </w:rPr>
                                  </w:pPr>
                                  <w:r>
                                    <w:rPr>
                                      <w:rFonts w:hint="eastAsia" w:ascii="仿宋_GB2312" w:hAnsi="仿宋" w:eastAsia="仿宋_GB2312"/>
                                      <w:b/>
                                      <w:bCs/>
                                      <w:sz w:val="28"/>
                                      <w:szCs w:val="28"/>
                                    </w:rPr>
                                    <w:t>层次二:非强制性标准</w:t>
                                  </w:r>
                                </w:p>
                              </w:txbxContent>
                            </wps:txbx>
                            <wps:bodyPr upright="1"/>
                          </wps:wsp>
                          <wps:wsp>
                            <wps:cNvPr id="7" name="左大括号 7"/>
                            <wps:cNvSpPr/>
                            <wps:spPr>
                              <a:xfrm>
                                <a:off x="18391" y="-358"/>
                                <a:ext cx="1308" cy="12826"/>
                              </a:xfrm>
                              <a:prstGeom prst="leftBrace">
                                <a:avLst>
                                  <a:gd name="adj1" fmla="val 77129"/>
                                  <a:gd name="adj2" fmla="val 50000"/>
                                </a:avLst>
                              </a:prstGeom>
                              <a:noFill/>
                              <a:ln w="9525" cap="flat" cmpd="sng">
                                <a:solidFill>
                                  <a:srgbClr val="000000"/>
                                </a:solidFill>
                                <a:prstDash val="solid"/>
                                <a:headEnd type="none" w="med" len="med"/>
                                <a:tailEnd type="none" w="med" len="med"/>
                              </a:ln>
                            </wps:spPr>
                            <wps:bodyPr upright="1"/>
                          </wps:wsp>
                        </wpg:grpSp>
                        <wps:wsp>
                          <wps:cNvPr id="9" name="文本框 9"/>
                          <wps:cNvSpPr txBox="1"/>
                          <wps:spPr>
                            <a:xfrm>
                              <a:off x="19699" y="-120"/>
                              <a:ext cx="21502" cy="15899"/>
                            </a:xfrm>
                            <a:prstGeom prst="rect">
                              <a:avLst/>
                            </a:prstGeom>
                            <a:solidFill>
                              <a:srgbClr val="FFFFFF"/>
                            </a:solidFill>
                            <a:ln>
                              <a:noFill/>
                            </a:ln>
                          </wps:spPr>
                          <wps:txbx>
                            <w:txbxContent>
                              <w:p>
                                <w:pPr>
                                  <w:jc w:val="left"/>
                                  <w:rPr>
                                    <w:rFonts w:ascii="仿宋" w:hAnsi="仿宋" w:eastAsia="仿宋"/>
                                    <w:bCs/>
                                    <w:sz w:val="28"/>
                                    <w:szCs w:val="28"/>
                                  </w:rPr>
                                </w:pPr>
                                <w:r>
                                  <w:rPr>
                                    <w:rFonts w:hint="eastAsia" w:ascii="仿宋" w:hAnsi="仿宋" w:eastAsia="仿宋"/>
                                    <w:bCs/>
                                    <w:sz w:val="28"/>
                                    <w:szCs w:val="28"/>
                                  </w:rPr>
                                  <w:t>监测方法</w:t>
                                </w:r>
                              </w:p>
                              <w:p>
                                <w:pPr>
                                  <w:jc w:val="left"/>
                                  <w:rPr>
                                    <w:rFonts w:hint="eastAsia" w:ascii="仿宋" w:hAnsi="仿宋" w:eastAsia="仿宋"/>
                                    <w:bCs/>
                                    <w:sz w:val="28"/>
                                    <w:szCs w:val="28"/>
                                  </w:rPr>
                                </w:pPr>
                                <w:r>
                                  <w:rPr>
                                    <w:rFonts w:hint="eastAsia" w:ascii="仿宋" w:hAnsi="仿宋" w:eastAsia="仿宋"/>
                                    <w:bCs/>
                                    <w:sz w:val="28"/>
                                    <w:szCs w:val="28"/>
                                  </w:rPr>
                                  <w:t>污染防治技术规范</w:t>
                                </w:r>
                              </w:p>
                              <w:p>
                                <w:pPr>
                                  <w:jc w:val="left"/>
                                  <w:rPr>
                                    <w:rFonts w:hint="eastAsia" w:ascii="仿宋" w:hAnsi="仿宋" w:eastAsia="仿宋"/>
                                    <w:bCs/>
                                    <w:sz w:val="28"/>
                                    <w:szCs w:val="28"/>
                                  </w:rPr>
                                </w:pPr>
                                <w:r>
                                  <w:rPr>
                                    <w:rFonts w:hint="eastAsia" w:ascii="仿宋" w:hAnsi="仿宋" w:eastAsia="仿宋"/>
                                    <w:bCs/>
                                    <w:sz w:val="28"/>
                                    <w:szCs w:val="28"/>
                                  </w:rPr>
                                  <w:t>环境影响评价技术导则</w:t>
                                </w:r>
                              </w:p>
                              <w:p>
                                <w:pPr>
                                  <w:jc w:val="left"/>
                                  <w:rPr>
                                    <w:rFonts w:hint="eastAsia" w:ascii="Calibri" w:hAnsi="Calibri"/>
                                    <w:sz w:val="28"/>
                                    <w:szCs w:val="28"/>
                                  </w:rPr>
                                </w:pPr>
                                <w:r>
                                  <w:rPr>
                                    <w:rFonts w:hint="eastAsia" w:ascii="仿宋" w:hAnsi="仿宋" w:eastAsia="仿宋"/>
                                    <w:bCs/>
                                    <w:sz w:val="28"/>
                                    <w:szCs w:val="28"/>
                                  </w:rPr>
                                  <w:t>……</w:t>
                                </w:r>
                              </w:p>
                            </w:txbxContent>
                          </wps:txbx>
                          <wps:bodyPr upright="1"/>
                        </wps:wsp>
                      </wpg:grpSp>
                      <wpg:grpSp>
                        <wpg:cNvPr id="17" name="组合 17"/>
                        <wpg:cNvGrpSpPr/>
                        <wpg:grpSpPr>
                          <a:xfrm>
                            <a:off x="831" y="0"/>
                            <a:ext cx="57604" cy="33724"/>
                            <a:chOff x="0" y="0"/>
                            <a:chExt cx="57604" cy="33724"/>
                          </a:xfrm>
                        </wpg:grpSpPr>
                        <wps:wsp>
                          <wps:cNvPr id="11" name="文本框 11"/>
                          <wps:cNvSpPr txBox="1"/>
                          <wps:spPr>
                            <a:xfrm>
                              <a:off x="39198" y="831"/>
                              <a:ext cx="18403" cy="32572"/>
                            </a:xfrm>
                            <a:prstGeom prst="rect">
                              <a:avLst/>
                            </a:prstGeom>
                            <a:solidFill>
                              <a:srgbClr val="FFFFFF"/>
                            </a:solidFill>
                            <a:ln>
                              <a:noFill/>
                            </a:ln>
                          </wps:spPr>
                          <wps:txbx>
                            <w:txbxContent>
                              <w:p>
                                <w:pPr>
                                  <w:snapToGrid w:val="0"/>
                                  <w:spacing w:line="360" w:lineRule="auto"/>
                                  <w:jc w:val="left"/>
                                  <w:rPr>
                                    <w:rFonts w:ascii="仿宋" w:hAnsi="仿宋" w:eastAsia="仿宋"/>
                                    <w:b/>
                                    <w:sz w:val="28"/>
                                    <w:szCs w:val="28"/>
                                  </w:rPr>
                                </w:pPr>
                                <w:r>
                                  <w:rPr>
                                    <w:rFonts w:hint="eastAsia" w:ascii="仿宋" w:hAnsi="仿宋" w:eastAsia="仿宋"/>
                                    <w:b/>
                                    <w:sz w:val="28"/>
                                    <w:szCs w:val="28"/>
                                  </w:rPr>
                                  <w:t>领域1:应对气候变化</w:t>
                                </w:r>
                              </w:p>
                              <w:p>
                                <w:pPr>
                                  <w:snapToGrid w:val="0"/>
                                  <w:spacing w:line="360" w:lineRule="auto"/>
                                  <w:jc w:val="left"/>
                                  <w:rPr>
                                    <w:rFonts w:hint="eastAsia" w:ascii="仿宋" w:hAnsi="仿宋" w:eastAsia="仿宋"/>
                                    <w:bCs/>
                                    <w:sz w:val="28"/>
                                    <w:szCs w:val="28"/>
                                  </w:rPr>
                                </w:pPr>
                                <w:r>
                                  <w:rPr>
                                    <w:rFonts w:hint="eastAsia" w:ascii="仿宋" w:hAnsi="仿宋" w:eastAsia="仿宋"/>
                                    <w:bCs/>
                                    <w:sz w:val="28"/>
                                    <w:szCs w:val="28"/>
                                  </w:rPr>
                                  <w:t>领域2:大气</w:t>
                                </w:r>
                              </w:p>
                              <w:p>
                                <w:pPr>
                                  <w:snapToGrid w:val="0"/>
                                  <w:spacing w:line="360" w:lineRule="auto"/>
                                  <w:jc w:val="left"/>
                                  <w:rPr>
                                    <w:rFonts w:hint="eastAsia" w:ascii="仿宋" w:hAnsi="仿宋" w:eastAsia="仿宋"/>
                                    <w:bCs/>
                                    <w:sz w:val="28"/>
                                    <w:szCs w:val="28"/>
                                  </w:rPr>
                                </w:pPr>
                                <w:r>
                                  <w:rPr>
                                    <w:rFonts w:hint="eastAsia" w:ascii="仿宋" w:hAnsi="仿宋" w:eastAsia="仿宋"/>
                                    <w:bCs/>
                                    <w:sz w:val="28"/>
                                    <w:szCs w:val="28"/>
                                  </w:rPr>
                                  <w:t>领域3:水</w:t>
                                </w:r>
                              </w:p>
                              <w:p>
                                <w:pPr>
                                  <w:snapToGrid w:val="0"/>
                                  <w:spacing w:line="360" w:lineRule="auto"/>
                                  <w:jc w:val="left"/>
                                  <w:rPr>
                                    <w:rFonts w:hint="eastAsia" w:ascii="仿宋" w:hAnsi="仿宋" w:eastAsia="仿宋"/>
                                    <w:bCs/>
                                    <w:sz w:val="28"/>
                                    <w:szCs w:val="28"/>
                                  </w:rPr>
                                </w:pPr>
                                <w:r>
                                  <w:rPr>
                                    <w:rFonts w:hint="eastAsia" w:ascii="仿宋" w:hAnsi="仿宋" w:eastAsia="仿宋"/>
                                    <w:bCs/>
                                    <w:sz w:val="28"/>
                                    <w:szCs w:val="28"/>
                                  </w:rPr>
                                  <w:t>领域4:土壤</w:t>
                                </w:r>
                              </w:p>
                              <w:p>
                                <w:pPr>
                                  <w:snapToGrid w:val="0"/>
                                  <w:spacing w:line="360" w:lineRule="auto"/>
                                  <w:jc w:val="left"/>
                                  <w:rPr>
                                    <w:rFonts w:hint="eastAsia" w:ascii="仿宋" w:hAnsi="仿宋" w:eastAsia="仿宋"/>
                                    <w:b/>
                                    <w:sz w:val="28"/>
                                    <w:szCs w:val="28"/>
                                  </w:rPr>
                                </w:pPr>
                                <w:r>
                                  <w:rPr>
                                    <w:rFonts w:hint="eastAsia" w:ascii="仿宋" w:hAnsi="仿宋" w:eastAsia="仿宋"/>
                                    <w:b/>
                                    <w:sz w:val="28"/>
                                    <w:szCs w:val="28"/>
                                  </w:rPr>
                                  <w:t>领域5:生态</w:t>
                                </w:r>
                              </w:p>
                              <w:p>
                                <w:pPr>
                                  <w:snapToGrid w:val="0"/>
                                  <w:spacing w:line="360" w:lineRule="auto"/>
                                  <w:jc w:val="left"/>
                                  <w:rPr>
                                    <w:rFonts w:hint="eastAsia" w:ascii="仿宋" w:hAnsi="仿宋" w:eastAsia="仿宋"/>
                                    <w:bCs/>
                                    <w:sz w:val="28"/>
                                    <w:szCs w:val="28"/>
                                  </w:rPr>
                                </w:pPr>
                                <w:r>
                                  <w:rPr>
                                    <w:rFonts w:hint="eastAsia" w:ascii="仿宋" w:hAnsi="仿宋" w:eastAsia="仿宋"/>
                                    <w:bCs/>
                                    <w:sz w:val="28"/>
                                    <w:szCs w:val="28"/>
                                  </w:rPr>
                                  <w:t>领域6:固体废物</w:t>
                                </w:r>
                              </w:p>
                              <w:p>
                                <w:pPr>
                                  <w:snapToGrid w:val="0"/>
                                  <w:spacing w:line="360" w:lineRule="auto"/>
                                  <w:jc w:val="left"/>
                                  <w:rPr>
                                    <w:rFonts w:hint="eastAsia" w:ascii="仿宋" w:hAnsi="仿宋" w:eastAsia="仿宋"/>
                                    <w:bCs/>
                                    <w:sz w:val="28"/>
                                    <w:szCs w:val="28"/>
                                  </w:rPr>
                                </w:pPr>
                                <w:r>
                                  <w:rPr>
                                    <w:rFonts w:hint="eastAsia" w:ascii="仿宋" w:hAnsi="仿宋" w:eastAsia="仿宋"/>
                                    <w:bCs/>
                                    <w:sz w:val="28"/>
                                    <w:szCs w:val="28"/>
                                  </w:rPr>
                                  <w:t>领域7:噪声与振动</w:t>
                                </w:r>
                              </w:p>
                              <w:p>
                                <w:pPr>
                                  <w:snapToGrid w:val="0"/>
                                  <w:spacing w:line="360" w:lineRule="auto"/>
                                  <w:jc w:val="left"/>
                                  <w:rPr>
                                    <w:rFonts w:hint="eastAsia" w:ascii="仿宋" w:hAnsi="仿宋" w:eastAsia="仿宋"/>
                                    <w:bCs/>
                                    <w:sz w:val="28"/>
                                    <w:szCs w:val="28"/>
                                  </w:rPr>
                                </w:pPr>
                                <w:r>
                                  <w:rPr>
                                    <w:rFonts w:hint="eastAsia" w:ascii="仿宋" w:hAnsi="仿宋" w:eastAsia="仿宋"/>
                                    <w:bCs/>
                                    <w:sz w:val="28"/>
                                    <w:szCs w:val="28"/>
                                  </w:rPr>
                                  <w:t>领域8:核与电磁辐射</w:t>
                                </w:r>
                              </w:p>
                              <w:p>
                                <w:pPr>
                                  <w:snapToGrid w:val="0"/>
                                  <w:spacing w:line="360" w:lineRule="auto"/>
                                  <w:jc w:val="left"/>
                                  <w:rPr>
                                    <w:rFonts w:hint="eastAsia" w:ascii="Calibri" w:hAnsi="Calibri"/>
                                    <w:sz w:val="28"/>
                                    <w:szCs w:val="28"/>
                                  </w:rPr>
                                </w:pPr>
                                <w:r>
                                  <w:rPr>
                                    <w:rFonts w:hint="eastAsia" w:ascii="仿宋" w:hAnsi="仿宋" w:eastAsia="仿宋"/>
                                    <w:bCs/>
                                    <w:sz w:val="28"/>
                                    <w:szCs w:val="28"/>
                                  </w:rPr>
                                  <w:t>领域9:其他</w:t>
                                </w:r>
                              </w:p>
                            </w:txbxContent>
                          </wps:txbx>
                          <wps:bodyPr upright="1"/>
                        </wps:wsp>
                        <wpg:grpSp>
                          <wpg:cNvPr id="16" name="组合 16"/>
                          <wpg:cNvGrpSpPr/>
                          <wpg:grpSpPr>
                            <a:xfrm>
                              <a:off x="0" y="0"/>
                              <a:ext cx="57604" cy="33724"/>
                              <a:chOff x="0" y="0"/>
                              <a:chExt cx="57604" cy="33724"/>
                            </a:xfrm>
                          </wpg:grpSpPr>
                          <wps:wsp>
                            <wps:cNvPr id="12" name="直接箭头连接符 12"/>
                            <wps:cNvCnPr/>
                            <wps:spPr>
                              <a:xfrm>
                                <a:off x="356" y="0"/>
                                <a:ext cx="57248" cy="0"/>
                              </a:xfrm>
                              <a:prstGeom prst="straightConnector1">
                                <a:avLst/>
                              </a:prstGeom>
                              <a:ln w="9525" cap="flat" cmpd="sng">
                                <a:solidFill>
                                  <a:srgbClr val="000000"/>
                                </a:solidFill>
                                <a:prstDash val="solid"/>
                                <a:headEnd type="none" w="med" len="med"/>
                                <a:tailEnd type="none" w="med" len="med"/>
                              </a:ln>
                            </wps:spPr>
                            <wps:bodyPr/>
                          </wps:wsp>
                          <wps:wsp>
                            <wps:cNvPr id="13" name="直接箭头连接符 13"/>
                            <wps:cNvCnPr/>
                            <wps:spPr>
                              <a:xfrm flipH="1">
                                <a:off x="0" y="14843"/>
                                <a:ext cx="38661" cy="0"/>
                              </a:xfrm>
                              <a:prstGeom prst="straightConnector1">
                                <a:avLst/>
                              </a:prstGeom>
                              <a:ln w="12700" cap="flat" cmpd="sng">
                                <a:solidFill>
                                  <a:srgbClr val="000000"/>
                                </a:solidFill>
                                <a:prstDash val="solid"/>
                                <a:headEnd type="none" w="med" len="med"/>
                                <a:tailEnd type="none" w="med" len="med"/>
                              </a:ln>
                            </wps:spPr>
                            <wps:bodyPr/>
                          </wps:wsp>
                          <wps:wsp>
                            <wps:cNvPr id="14" name="直接箭头连接符 14"/>
                            <wps:cNvCnPr/>
                            <wps:spPr>
                              <a:xfrm>
                                <a:off x="38780" y="0"/>
                                <a:ext cx="184" cy="33585"/>
                              </a:xfrm>
                              <a:prstGeom prst="straightConnector1">
                                <a:avLst/>
                              </a:prstGeom>
                              <a:ln w="9525" cap="flat" cmpd="sng">
                                <a:solidFill>
                                  <a:srgbClr val="000000"/>
                                </a:solidFill>
                                <a:prstDash val="solid"/>
                                <a:headEnd type="none" w="med" len="med"/>
                                <a:tailEnd type="none" w="med" len="med"/>
                              </a:ln>
                            </wps:spPr>
                            <wps:bodyPr/>
                          </wps:wsp>
                          <wps:wsp>
                            <wps:cNvPr id="15" name="直接箭头连接符 15"/>
                            <wps:cNvCnPr/>
                            <wps:spPr>
                              <a:xfrm flipV="1">
                                <a:off x="356" y="33584"/>
                                <a:ext cx="57248" cy="140"/>
                              </a:xfrm>
                              <a:prstGeom prst="straightConnector1">
                                <a:avLst/>
                              </a:prstGeom>
                              <a:ln w="9525" cap="flat" cmpd="sng">
                                <a:solidFill>
                                  <a:srgbClr val="000000"/>
                                </a:solidFill>
                                <a:prstDash val="solid"/>
                                <a:headEnd type="none" w="med" len="med"/>
                                <a:tailEnd type="none" w="med" len="med"/>
                              </a:ln>
                            </wps:spPr>
                            <wps:bodyPr/>
                          </wps:wsp>
                        </wpg:grpSp>
                      </wpg:grpSp>
                    </wpg:wgp>
                  </a:graphicData>
                </a:graphic>
              </wp:inline>
            </w:drawing>
          </mc:Choice>
          <mc:Fallback>
            <w:pict>
              <v:group id="_x0000_s1026" o:spid="_x0000_s1026" o:spt="203" style="height:255.25pt;width:456.55pt;" coordsize="58435,33724" o:gfxdata="UEsDBAoAAAAAAIdO4kAAAAAAAAAAAAAAAAAEAAAAZHJzL1BLAwQUAAAACACHTuJAzuNOadYAAAAF&#10;AQAADwAAAGRycy9kb3ducmV2LnhtbE2PQUvDQBCF74L/YRnBm91dS8TGbIoU9VQEW0F6m2anSWh2&#10;NmS3SfvvXb3oZeDxHu99UyzPrhMjDaH1bEDPFAjiytuWawOf29e7RxAhIlvsPJOBCwVYltdXBebW&#10;T/xB4ybWIpVwyNFAE2OfSxmqhhyGme+Jk3fwg8OY5FBLO+CUyl0n75V6kA5bTgsN9rRqqDpuTs7A&#10;24TT81y/jOvjYXXZbbP3r7UmY25vtHoCEekc/8Lwg5/QoUxMe39iG0RnID0Sf2/yFnquQewNZFpl&#10;IMtC/qcvvwFQSwMEFAAAAAgAh07iQN/D11HhBQAATB8AAA4AAABkcnMvZTJvRG9jLnhtbO1ZS2/k&#10;RBC+I/EfWr4n4/Z7rExW2mQTDiuIWODe8WPG4Jfa3szkjhYkJODEBYSEtCyXwGmlPXDg1yThZ1Dd&#10;7m4/MrN5oEyUKHMYeTzd7a6qr776urz1ZJGl6CiiVVLkEw1v6hqK8qAIk3w60T7/bG/D01BVkzwk&#10;aZFHE+04qrQn2x9+sDUv/cgoZkUaRhTBInnlz8uJNqvr0h+NqmAWZaTaLMoohz/jgmakhp90Ogop&#10;mcPqWToydN0ZzQsalrQIoqqCu7vNn9o2Xz+Oo6D+JI6rqEbpRIO91fyb8u9D9j3a3iL+lJJylgRi&#10;G+QGu8hIksND1VK7pCboJU0uLJUlAS2qIq43gyIbFXGcBBG3AazB+sCafVq8LLktU38+LZWbwLUD&#10;P9142eDjowOKkhBiB5HKSQYxOv/769Mfv0VwA7wzL6c+DNqn5YvygDYmwuXzIviqQnnxaQEuxWzg&#10;aDiS/Z620xYxzdh0sBkteACOVQCiRY0CuGm7Yw97toYC+M80LOy4dhOiYAZxvDAvmD2TMz3LlPNM&#10;17D4jojfPJRvTW1F7et2/Qm76bmTG9L3kXCv2pncr3KSBeYj7grdafwgPWXphgUBY34aW57A8WVO&#10;WjJpJJ859BGkY9Uirvp/iHsxI2XEgVwxMEnESQ+d/fTN2S8nZ7+9QhxJ85KPYnhD9eJpAcBQ9ysB&#10;wqVowmNdeEK6Cbu2C2nP3GSbFv9TWUz8klb1flRkiF1MNApswZOYHD2vagbpdghDblWkSbiXpCn/&#10;QaeHOylFRwSYZY9/BOZ6w9KcDc4LNq1Zkd0BZ1d+Ywq7qheHC46Fyj8swmMw+2VJk+msk1o8HE02&#10;crjcLnYtGRlBBTydrold7Di2y9E7iIlh2mO8ErobY9yb1aY4mydiKSGvYnkH6DWkj07fvTl9/cfZ&#10;dyenP7xDBgNBB8Di1wrYKmOxZQuiU8g1PVMA1wVGbLAjUT8AbhrF9VNKApZixOfoZRfTUDAQCb8E&#10;h8dZCqUN8Iosx7B4SPtjwKJ2jK3DRzxWrDhIBwVq4qc5mgMR2QajYAJlPE5JDZdZCYWlyqd8X728&#10;qLrpwx6lHtYbxgzdJdWsSTP+F9sT8WcRCZ/lIaqPS6hYOWgLjW0hi0INpRFIEXbFR9YkSa8yEqxb&#10;kpqX5uMaeBJw0FSSlidNZlsHZlflSctxlqakYUCB6VUTlVotB94fmmzpQOgSzplro08MNNWr/XCD&#10;x6srpcSN1cUfFoGyhR0MhZ4jWVKDhUErNtHCQImCXgfFfwMGNdNaBl02UcW59RmTeWsSSUPNuURy&#10;XtVP2BOUJt2Ex854LNxkeIYrvdETkhumLbzbumnZxJVuWkP+Q2YO85+rwRvkf4Mp05OgaX1lSjlp&#10;2Tr3iLL4PhIAc82t61fQKU1cegqA46wTGo5fqfak2lYKH3smE0OQ6C0SVVBMiAQnZQz45SFfHZTr&#10;agDXxca4SYmuTnjUABfl+SUaoCXOpiTfOu6A1IZ8wCPZAd1V9YCgOgY/VS8k/Axs6wAHdnbCtgdU&#10;Ckhejb97cHjqB0o0J273IMXOMn0lIOjhWkrAMxuKEAVdBsh2HR1OarxXInsexB/ogAsiYNksFdbW&#10;RY0IWAOLYrBtCGe4J2gTugXX6QMAmY6BMwGyzGewBvGlt0Af6OJEZRq2yw9qyu77WePWA2ElP2Rf&#10;UIiPa0G4ER4PE8CqE3D+89uz738//+vP09dv//3nV3Z98gbhbk9gJz+g71cEpr30iAaIlQqNe3E1&#10;dKuaEtY82inyHDpaBcVtW6ChcNk+YOnx0I/uzGKhBtdUnrE6r6/AQ/fwvgIPKE6T8iPW92Qx6rXM&#10;4Tho8RVaajM9xxEHwlvABjZcOC48yL7OHYCjba0uJwvRauUd8BXg6EDC9Fxo/rN6N6BWdhoWysC+&#10;rH34SBgNMzQ6/w4w0b4qWo4J8erofZjghPHFgDBkKTGhyTFojnTKCb7svcgjPlbio9XL/UYjvw+v&#10;bPmJSbxeZu+Eu7/5jPYl+P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zuNOadYAAAAFAQAADwAA&#10;AAAAAAABACAAAAAiAAAAZHJzL2Rvd25yZXYueG1sUEsBAhQAFAAAAAgAh07iQN/D11HhBQAATB8A&#10;AA4AAAAAAAAAAQAgAAAAJQEAAGRycy9lMm9Eb2MueG1sUEsFBgAAAAAGAAYAWQEAAHgJAAAAAA==&#10;">
                <o:lock v:ext="edit" rotation="t" aspectratio="f"/>
                <v:group id="_x0000_s1026" o:spid="_x0000_s1026" o:spt="203" style="position:absolute;left:475;top:3206;height:9480;width:40248;" coordsize="40248,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f"/>
                  <v:shape id="_x0000_s1026" o:spid="_x0000_s1026" o:spt="202" type="#_x0000_t202" style="position:absolute;left:0;top:1900;height:5340;width:17570;"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v:fill on="t" focussize="0,0"/>
                    <v:stroke on="f"/>
                    <v:imagedata o:title=""/>
                    <o:lock v:ext="edit" aspectratio="f"/>
                    <v:textbox>
                      <w:txbxContent>
                        <w:p>
                          <w:pPr>
                            <w:rPr>
                              <w:rFonts w:ascii="仿宋_GB2312" w:eastAsia="仿宋_GB2312"/>
                              <w:b/>
                              <w:sz w:val="28"/>
                              <w:szCs w:val="28"/>
                            </w:rPr>
                          </w:pPr>
                          <w:r>
                            <w:rPr>
                              <w:rFonts w:hint="eastAsia" w:ascii="仿宋_GB2312" w:hAnsi="仿宋" w:eastAsia="仿宋_GB2312"/>
                              <w:b/>
                              <w:bCs/>
                              <w:sz w:val="28"/>
                              <w:szCs w:val="28"/>
                            </w:rPr>
                            <w:t>层次一:强制性标准</w:t>
                          </w:r>
                        </w:p>
                      </w:txbxContent>
                    </v:textbox>
                  </v:shape>
                  <v:group id="_x0000_s1026" o:spid="_x0000_s1026" o:spt="203" style="position:absolute;left:16657;top:0;height:9480;width:23591;" coordorigin="-917,0" coordsize="23590,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f"/>
                    <v:shape id="_x0000_s1026" o:spid="_x0000_s1026" o:spt="87" type="#_x0000_t87" style="position:absolute;left:-917;top:1455;height:5785;width:1383;"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ib4A&#10;AADaAAAADwAAAGRycy9kb3ducmV2LnhtbESPzQrCMBCE74LvEFbwpqmCWqpRRFE8+vcAS7O21WZT&#10;mljr2xtB8DjMzDfMYtWaUjRUu8KygtEwAkGcWl1wpuB62Q1iEM4jaywtk4I3OVgtu50FJtq++ETN&#10;2WciQNglqCD3vkqkdGlOBt3QVsTBu9naoA+yzqSu8RXgppTjKJpKgwWHhRwr2uSUPs5Po+AZN+/r&#10;NHpUcnbfx+Vxu882W6NUv9eu5yA8tf4f/rUPWsEE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wBA4m+AAAA2gAAAA8AAAAAAAAAAAAAAAAAmAIAAGRycy9kb3ducmV2&#10;LnhtbFBLBQYAAAAABAAEAPUAAACDAwAAAAA=&#10;" adj="2387,10800">
                      <v:fill on="f" focussize="0,0"/>
                      <v:stroke color="#000000" joinstyle="round"/>
                      <v:imagedata o:title=""/>
                      <o:lock v:ext="edit" aspectratio="f"/>
                    </v:shape>
                    <v:shape id="_x0000_s1026" o:spid="_x0000_s1026" o:spt="202" type="#_x0000_t202" style="position:absolute;left:466;top:0;height:9480;width:22206;"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v:fill on="t" focussize="0,0"/>
                      <v:stroke on="f"/>
                      <v:imagedata o:title=""/>
                      <o:lock v:ext="edit" aspectratio="f"/>
                      <v:textbox>
                        <w:txbxContent>
                          <w:p>
                            <w:pPr>
                              <w:jc w:val="left"/>
                              <w:rPr>
                                <w:rFonts w:ascii="仿宋_GB2312" w:hAnsi="仿宋" w:eastAsia="仿宋_GB2312"/>
                                <w:bCs/>
                                <w:sz w:val="28"/>
                                <w:szCs w:val="28"/>
                              </w:rPr>
                            </w:pPr>
                            <w:r>
                              <w:rPr>
                                <w:rFonts w:hint="eastAsia" w:ascii="仿宋_GB2312" w:hAnsi="仿宋" w:eastAsia="仿宋_GB2312"/>
                                <w:bCs/>
                                <w:sz w:val="28"/>
                                <w:szCs w:val="28"/>
                              </w:rPr>
                              <w:t>环境质量标准</w:t>
                            </w:r>
                          </w:p>
                          <w:p>
                            <w:pPr>
                              <w:jc w:val="left"/>
                              <w:rPr>
                                <w:rFonts w:hint="eastAsia" w:ascii="仿宋_GB2312" w:hAnsi="仿宋" w:eastAsia="仿宋_GB2312"/>
                                <w:bCs/>
                                <w:sz w:val="28"/>
                                <w:szCs w:val="28"/>
                              </w:rPr>
                            </w:pPr>
                            <w:r>
                              <w:rPr>
                                <w:rFonts w:hint="eastAsia" w:ascii="仿宋_GB2312" w:hAnsi="仿宋" w:eastAsia="仿宋_GB2312"/>
                                <w:bCs/>
                                <w:sz w:val="28"/>
                                <w:szCs w:val="28"/>
                              </w:rPr>
                              <w:t>污染物排放(控制)标准</w:t>
                            </w:r>
                          </w:p>
                        </w:txbxContent>
                      </v:textbox>
                    </v:shape>
                  </v:group>
                </v:group>
                <v:group id="_x0000_s1026" o:spid="_x0000_s1026" o:spt="203" style="position:absolute;left:0;top:16148;height:15900;width:41201;" coordorigin="0,-120" coordsize="41201,15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f"/>
                  <v:group id="_x0000_s1026" o:spid="_x0000_s1026" o:spt="203" style="position:absolute;left:0;top:1184;height:12827;width:19699;" coordorigin="0,-358" coordsize="19699,12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f"/>
                    <v:shape id="_x0000_s1026" o:spid="_x0000_s1026" o:spt="202" type="#_x0000_t202" style="position:absolute;left:0;top:3800;height:4508;width:19348;"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v:fill on="t" focussize="0,0"/>
                      <v:stroke on="f"/>
                      <v:imagedata o:title=""/>
                      <o:lock v:ext="edit" aspectratio="f"/>
                      <v:textbox>
                        <w:txbxContent>
                          <w:p>
                            <w:pPr>
                              <w:rPr>
                                <w:rFonts w:ascii="仿宋_GB2312" w:eastAsia="仿宋_GB2312"/>
                                <w:b/>
                                <w:sz w:val="28"/>
                                <w:szCs w:val="28"/>
                              </w:rPr>
                            </w:pPr>
                            <w:r>
                              <w:rPr>
                                <w:rFonts w:hint="eastAsia" w:ascii="仿宋_GB2312" w:hAnsi="仿宋" w:eastAsia="仿宋_GB2312"/>
                                <w:b/>
                                <w:bCs/>
                                <w:sz w:val="28"/>
                                <w:szCs w:val="28"/>
                              </w:rPr>
                              <w:t>层次二:非强制性标准</w:t>
                            </w:r>
                          </w:p>
                        </w:txbxContent>
                      </v:textbox>
                    </v:shape>
                    <v:shape id="_x0000_s1026" o:spid="_x0000_s1026" o:spt="87" type="#_x0000_t87" style="position:absolute;left:18391;top:-358;height:12826;width:1308;"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ULDMMA&#10;AADbAAAADwAAAGRycy9kb3ducmV2LnhtbESPT2vCQBDF70K/wzKFXqRuLFg0zUZK/YOngtbeh91p&#10;EpqdDdlV47d3DoK3Gd6b935TLAffqjP1sQlsYDrJQBHb4BquDBx/Nq9zUDEhO2wDk4ErRViWT6MC&#10;cxcuvKfzIVVKQjjmaKBOqcu1jrYmj3ESOmLR/kLvMcnaV9r1eJFw3+q3LHvXHhuWhho7+qrJ/h9O&#10;3gD/0n69SqfF1vvj1NrF98y5sTEvz8PnB6hEQ3qY79c7J/hCL7/IALq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ULDMMAAADbAAAADwAAAAAAAAAAAAAAAACYAgAAZHJzL2Rv&#10;d25yZXYueG1sUEsFBgAAAAAEAAQA9QAAAIgDAAAAAA==&#10;" adj="1698,10800">
                      <v:fill on="f" focussize="0,0"/>
                      <v:stroke color="#000000" joinstyle="round"/>
                      <v:imagedata o:title=""/>
                      <o:lock v:ext="edit" aspectratio="f"/>
                    </v:shape>
                  </v:group>
                  <v:shape id="_x0000_s1026" o:spid="_x0000_s1026" o:spt="202" type="#_x0000_t202" style="position:absolute;left:19699;top:-120;height:15899;width:21502;"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v:fill on="t" focussize="0,0"/>
                    <v:stroke on="f"/>
                    <v:imagedata o:title=""/>
                    <o:lock v:ext="edit" aspectratio="f"/>
                    <v:textbox>
                      <w:txbxContent>
                        <w:p>
                          <w:pPr>
                            <w:jc w:val="left"/>
                            <w:rPr>
                              <w:rFonts w:ascii="仿宋" w:hAnsi="仿宋" w:eastAsia="仿宋"/>
                              <w:bCs/>
                              <w:sz w:val="28"/>
                              <w:szCs w:val="28"/>
                            </w:rPr>
                          </w:pPr>
                          <w:r>
                            <w:rPr>
                              <w:rFonts w:hint="eastAsia" w:ascii="仿宋" w:hAnsi="仿宋" w:eastAsia="仿宋"/>
                              <w:bCs/>
                              <w:sz w:val="28"/>
                              <w:szCs w:val="28"/>
                            </w:rPr>
                            <w:t>监测方法</w:t>
                          </w:r>
                        </w:p>
                        <w:p>
                          <w:pPr>
                            <w:jc w:val="left"/>
                            <w:rPr>
                              <w:rFonts w:hint="eastAsia" w:ascii="仿宋" w:hAnsi="仿宋" w:eastAsia="仿宋"/>
                              <w:bCs/>
                              <w:sz w:val="28"/>
                              <w:szCs w:val="28"/>
                            </w:rPr>
                          </w:pPr>
                          <w:r>
                            <w:rPr>
                              <w:rFonts w:hint="eastAsia" w:ascii="仿宋" w:hAnsi="仿宋" w:eastAsia="仿宋"/>
                              <w:bCs/>
                              <w:sz w:val="28"/>
                              <w:szCs w:val="28"/>
                            </w:rPr>
                            <w:t>污染防治技术规范</w:t>
                          </w:r>
                        </w:p>
                        <w:p>
                          <w:pPr>
                            <w:jc w:val="left"/>
                            <w:rPr>
                              <w:rFonts w:hint="eastAsia" w:ascii="仿宋" w:hAnsi="仿宋" w:eastAsia="仿宋"/>
                              <w:bCs/>
                              <w:sz w:val="28"/>
                              <w:szCs w:val="28"/>
                            </w:rPr>
                          </w:pPr>
                          <w:r>
                            <w:rPr>
                              <w:rFonts w:hint="eastAsia" w:ascii="仿宋" w:hAnsi="仿宋" w:eastAsia="仿宋"/>
                              <w:bCs/>
                              <w:sz w:val="28"/>
                              <w:szCs w:val="28"/>
                            </w:rPr>
                            <w:t>环境影响评价技术导则</w:t>
                          </w:r>
                        </w:p>
                        <w:p>
                          <w:pPr>
                            <w:jc w:val="left"/>
                            <w:rPr>
                              <w:rFonts w:hint="eastAsia" w:ascii="Calibri" w:hAnsi="Calibri"/>
                              <w:sz w:val="28"/>
                              <w:szCs w:val="28"/>
                            </w:rPr>
                          </w:pPr>
                          <w:r>
                            <w:rPr>
                              <w:rFonts w:hint="eastAsia" w:ascii="仿宋" w:hAnsi="仿宋" w:eastAsia="仿宋"/>
                              <w:bCs/>
                              <w:sz w:val="28"/>
                              <w:szCs w:val="28"/>
                            </w:rPr>
                            <w:t>……</w:t>
                          </w:r>
                        </w:p>
                      </w:txbxContent>
                    </v:textbox>
                  </v:shape>
                </v:group>
                <v:group id="_x0000_s1026" o:spid="_x0000_s1026" o:spt="203" style="position:absolute;left:831;top:0;height:33724;width:57604;" coordsize="57604,33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f"/>
                  <v:shape id="_x0000_s1026" o:spid="_x0000_s1026" o:spt="202" type="#_x0000_t202" style="position:absolute;left:39198;top:831;height:32572;width:18403;"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v:fill on="t" focussize="0,0"/>
                    <v:stroke on="f"/>
                    <v:imagedata o:title=""/>
                    <o:lock v:ext="edit" aspectratio="f"/>
                    <v:textbox>
                      <w:txbxContent>
                        <w:p>
                          <w:pPr>
                            <w:snapToGrid w:val="0"/>
                            <w:spacing w:line="360" w:lineRule="auto"/>
                            <w:jc w:val="left"/>
                            <w:rPr>
                              <w:rFonts w:ascii="仿宋" w:hAnsi="仿宋" w:eastAsia="仿宋"/>
                              <w:b/>
                              <w:sz w:val="28"/>
                              <w:szCs w:val="28"/>
                            </w:rPr>
                          </w:pPr>
                          <w:r>
                            <w:rPr>
                              <w:rFonts w:hint="eastAsia" w:ascii="仿宋" w:hAnsi="仿宋" w:eastAsia="仿宋"/>
                              <w:b/>
                              <w:sz w:val="28"/>
                              <w:szCs w:val="28"/>
                            </w:rPr>
                            <w:t>领域1:应对气候变化</w:t>
                          </w:r>
                        </w:p>
                        <w:p>
                          <w:pPr>
                            <w:snapToGrid w:val="0"/>
                            <w:spacing w:line="360" w:lineRule="auto"/>
                            <w:jc w:val="left"/>
                            <w:rPr>
                              <w:rFonts w:hint="eastAsia" w:ascii="仿宋" w:hAnsi="仿宋" w:eastAsia="仿宋"/>
                              <w:bCs/>
                              <w:sz w:val="28"/>
                              <w:szCs w:val="28"/>
                            </w:rPr>
                          </w:pPr>
                          <w:r>
                            <w:rPr>
                              <w:rFonts w:hint="eastAsia" w:ascii="仿宋" w:hAnsi="仿宋" w:eastAsia="仿宋"/>
                              <w:bCs/>
                              <w:sz w:val="28"/>
                              <w:szCs w:val="28"/>
                            </w:rPr>
                            <w:t>领域2:大气</w:t>
                          </w:r>
                        </w:p>
                        <w:p>
                          <w:pPr>
                            <w:snapToGrid w:val="0"/>
                            <w:spacing w:line="360" w:lineRule="auto"/>
                            <w:jc w:val="left"/>
                            <w:rPr>
                              <w:rFonts w:hint="eastAsia" w:ascii="仿宋" w:hAnsi="仿宋" w:eastAsia="仿宋"/>
                              <w:bCs/>
                              <w:sz w:val="28"/>
                              <w:szCs w:val="28"/>
                            </w:rPr>
                          </w:pPr>
                          <w:r>
                            <w:rPr>
                              <w:rFonts w:hint="eastAsia" w:ascii="仿宋" w:hAnsi="仿宋" w:eastAsia="仿宋"/>
                              <w:bCs/>
                              <w:sz w:val="28"/>
                              <w:szCs w:val="28"/>
                            </w:rPr>
                            <w:t>领域3:水</w:t>
                          </w:r>
                        </w:p>
                        <w:p>
                          <w:pPr>
                            <w:snapToGrid w:val="0"/>
                            <w:spacing w:line="360" w:lineRule="auto"/>
                            <w:jc w:val="left"/>
                            <w:rPr>
                              <w:rFonts w:hint="eastAsia" w:ascii="仿宋" w:hAnsi="仿宋" w:eastAsia="仿宋"/>
                              <w:bCs/>
                              <w:sz w:val="28"/>
                              <w:szCs w:val="28"/>
                            </w:rPr>
                          </w:pPr>
                          <w:r>
                            <w:rPr>
                              <w:rFonts w:hint="eastAsia" w:ascii="仿宋" w:hAnsi="仿宋" w:eastAsia="仿宋"/>
                              <w:bCs/>
                              <w:sz w:val="28"/>
                              <w:szCs w:val="28"/>
                            </w:rPr>
                            <w:t>领域4:土壤</w:t>
                          </w:r>
                        </w:p>
                        <w:p>
                          <w:pPr>
                            <w:snapToGrid w:val="0"/>
                            <w:spacing w:line="360" w:lineRule="auto"/>
                            <w:jc w:val="left"/>
                            <w:rPr>
                              <w:rFonts w:hint="eastAsia" w:ascii="仿宋" w:hAnsi="仿宋" w:eastAsia="仿宋"/>
                              <w:b/>
                              <w:sz w:val="28"/>
                              <w:szCs w:val="28"/>
                            </w:rPr>
                          </w:pPr>
                          <w:r>
                            <w:rPr>
                              <w:rFonts w:hint="eastAsia" w:ascii="仿宋" w:hAnsi="仿宋" w:eastAsia="仿宋"/>
                              <w:b/>
                              <w:sz w:val="28"/>
                              <w:szCs w:val="28"/>
                            </w:rPr>
                            <w:t>领域5:生态</w:t>
                          </w:r>
                        </w:p>
                        <w:p>
                          <w:pPr>
                            <w:snapToGrid w:val="0"/>
                            <w:spacing w:line="360" w:lineRule="auto"/>
                            <w:jc w:val="left"/>
                            <w:rPr>
                              <w:rFonts w:hint="eastAsia" w:ascii="仿宋" w:hAnsi="仿宋" w:eastAsia="仿宋"/>
                              <w:bCs/>
                              <w:sz w:val="28"/>
                              <w:szCs w:val="28"/>
                            </w:rPr>
                          </w:pPr>
                          <w:r>
                            <w:rPr>
                              <w:rFonts w:hint="eastAsia" w:ascii="仿宋" w:hAnsi="仿宋" w:eastAsia="仿宋"/>
                              <w:bCs/>
                              <w:sz w:val="28"/>
                              <w:szCs w:val="28"/>
                            </w:rPr>
                            <w:t>领域6:固体废物</w:t>
                          </w:r>
                        </w:p>
                        <w:p>
                          <w:pPr>
                            <w:snapToGrid w:val="0"/>
                            <w:spacing w:line="360" w:lineRule="auto"/>
                            <w:jc w:val="left"/>
                            <w:rPr>
                              <w:rFonts w:hint="eastAsia" w:ascii="仿宋" w:hAnsi="仿宋" w:eastAsia="仿宋"/>
                              <w:bCs/>
                              <w:sz w:val="28"/>
                              <w:szCs w:val="28"/>
                            </w:rPr>
                          </w:pPr>
                          <w:r>
                            <w:rPr>
                              <w:rFonts w:hint="eastAsia" w:ascii="仿宋" w:hAnsi="仿宋" w:eastAsia="仿宋"/>
                              <w:bCs/>
                              <w:sz w:val="28"/>
                              <w:szCs w:val="28"/>
                            </w:rPr>
                            <w:t>领域7:噪声与振动</w:t>
                          </w:r>
                        </w:p>
                        <w:p>
                          <w:pPr>
                            <w:snapToGrid w:val="0"/>
                            <w:spacing w:line="360" w:lineRule="auto"/>
                            <w:jc w:val="left"/>
                            <w:rPr>
                              <w:rFonts w:hint="eastAsia" w:ascii="仿宋" w:hAnsi="仿宋" w:eastAsia="仿宋"/>
                              <w:bCs/>
                              <w:sz w:val="28"/>
                              <w:szCs w:val="28"/>
                            </w:rPr>
                          </w:pPr>
                          <w:r>
                            <w:rPr>
                              <w:rFonts w:hint="eastAsia" w:ascii="仿宋" w:hAnsi="仿宋" w:eastAsia="仿宋"/>
                              <w:bCs/>
                              <w:sz w:val="28"/>
                              <w:szCs w:val="28"/>
                            </w:rPr>
                            <w:t>领域8:核与电磁辐射</w:t>
                          </w:r>
                        </w:p>
                        <w:p>
                          <w:pPr>
                            <w:snapToGrid w:val="0"/>
                            <w:spacing w:line="360" w:lineRule="auto"/>
                            <w:jc w:val="left"/>
                            <w:rPr>
                              <w:rFonts w:hint="eastAsia" w:ascii="Calibri" w:hAnsi="Calibri"/>
                              <w:sz w:val="28"/>
                              <w:szCs w:val="28"/>
                            </w:rPr>
                          </w:pPr>
                          <w:r>
                            <w:rPr>
                              <w:rFonts w:hint="eastAsia" w:ascii="仿宋" w:hAnsi="仿宋" w:eastAsia="仿宋"/>
                              <w:bCs/>
                              <w:sz w:val="28"/>
                              <w:szCs w:val="28"/>
                            </w:rPr>
                            <w:t>领域9:其他</w:t>
                          </w:r>
                        </w:p>
                      </w:txbxContent>
                    </v:textbox>
                  </v:shape>
                  <v:group id="_x0000_s1026" o:spid="_x0000_s1026" o:spt="203" style="position:absolute;left:0;top:0;height:33724;width:57604;" coordsize="57604,33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o:lock v:ext="edit" aspectratio="f"/>
                    <v:shape id="_x0000_s1026" o:spid="_x0000_s1026" o:spt="32" type="#_x0000_t32" style="position:absolute;left:356;top:0;height:0;width:5724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fill on="f" focussize="0,0"/>
                      <v:stroke color="#000000" joinstyle="round"/>
                      <v:imagedata o:title=""/>
                      <o:lock v:ext="edit" aspectratio="f"/>
                    </v:shape>
                    <v:shape id="_x0000_s1026" o:spid="_x0000_s1026" o:spt="32" type="#_x0000_t32" style="position:absolute;left:0;top:14843;flip:x;height:0;width:3866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gMsr8AAADbAAAADwAAAGRycy9kb3ducmV2LnhtbERPTYvCMBC9C/6HMMJexKauWKQaRQTB&#10;k2BX0OPQjG2xmdQmtt1/v1lY2Ns83udsdoOpRUetqywrmEcxCOLc6ooLBdev42wFwnlkjbVlUvBN&#10;Dnbb8WiDqbY9X6jLfCFCCLsUFZTeN6mULi/JoItsQxy4h20N+gDbQuoW+xBuavkZx4k0WHFoKLGh&#10;Q0n5M3sbBeflNOk6/5o6PN+xz24s+3qh1Mdk2K9BeBr8v/jPfdJhfgK/v4QD5PY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jgMsr8AAADbAAAADwAAAAAAAAAAAAAAAACh&#10;AgAAZHJzL2Rvd25yZXYueG1sUEsFBgAAAAAEAAQA+QAAAI0DAAAAAA==&#10;">
                      <v:fill on="f" focussize="0,0"/>
                      <v:stroke weight="1pt" color="#000000" joinstyle="round"/>
                      <v:imagedata o:title=""/>
                      <o:lock v:ext="edit" aspectratio="f"/>
                    </v:shape>
                    <v:shape id="_x0000_s1026" o:spid="_x0000_s1026" o:spt="32" type="#_x0000_t32" style="position:absolute;left:38780;top:0;height:33585;width:18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fill on="f" focussize="0,0"/>
                      <v:stroke color="#000000" joinstyle="round"/>
                      <v:imagedata o:title=""/>
                      <o:lock v:ext="edit" aspectratio="f"/>
                    </v:shape>
                    <v:shape id="_x0000_s1026" o:spid="_x0000_s1026" o:spt="32" type="#_x0000_t32" style="position:absolute;left:356;top:33584;flip:y;height:140;width:5724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fill on="f" focussize="0,0"/>
                      <v:stroke color="#000000" joinstyle="round"/>
                      <v:imagedata o:title=""/>
                      <o:lock v:ext="edit" aspectratio="f"/>
                    </v:shape>
                  </v:group>
                </v:group>
                <w10:wrap type="none"/>
                <w10:anchorlock/>
              </v:group>
            </w:pict>
          </mc:Fallback>
        </mc:AlternateContent>
      </w:r>
    </w:p>
    <w:p>
      <w:pPr>
        <w:spacing w:line="560" w:lineRule="exact"/>
        <w:ind w:firstLine="640" w:firstLineChars="200"/>
        <w:jc w:val="center"/>
        <w:rPr>
          <w:rFonts w:hint="eastAsia" w:ascii="楷体_GB2312" w:hAnsi="宋体" w:eastAsia="楷体_GB2312"/>
          <w:kern w:val="0"/>
          <w:sz w:val="32"/>
          <w:szCs w:val="32"/>
        </w:rPr>
      </w:pPr>
      <w:r>
        <w:rPr>
          <w:rFonts w:hint="eastAsia" w:ascii="楷体_GB2312" w:hAnsi="宋体" w:eastAsia="楷体_GB2312"/>
          <w:kern w:val="0"/>
          <w:sz w:val="32"/>
          <w:szCs w:val="32"/>
        </w:rPr>
        <w:t>图1 北京市生态环境标准体系框架图</w:t>
      </w:r>
    </w:p>
    <w:p>
      <w:pPr>
        <w:spacing w:line="560" w:lineRule="exact"/>
        <w:ind w:firstLine="640" w:firstLineChars="200"/>
        <w:outlineLvl w:val="1"/>
        <w:rPr>
          <w:rFonts w:hint="eastAsia" w:ascii="楷体_GB2312" w:hAnsi="Calibri" w:eastAsia="楷体_GB2312"/>
          <w:sz w:val="32"/>
          <w:szCs w:val="32"/>
        </w:rPr>
      </w:pPr>
      <w:bookmarkStart w:id="47" w:name="_Toc72798183"/>
      <w:bookmarkStart w:id="48" w:name="_Toc96958719"/>
      <w:r>
        <w:rPr>
          <w:rFonts w:hint="eastAsia" w:ascii="楷体_GB2312" w:eastAsia="楷体_GB2312"/>
          <w:sz w:val="32"/>
          <w:szCs w:val="32"/>
        </w:rPr>
        <w:t>（二）制修订一批重点领域标准</w:t>
      </w:r>
      <w:bookmarkEnd w:id="43"/>
      <w:bookmarkEnd w:id="44"/>
      <w:bookmarkEnd w:id="47"/>
      <w:bookmarkEnd w:id="48"/>
    </w:p>
    <w:p>
      <w:pPr>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以改善生态环境质量为根本出发点，按照法律法规授权和生态环境保护工作需要，逐步精准开展地方生态环境标准的制修订工作，科学规划、加强研究、补齐短板，逐步提高地方生态环境标准体系质量。按照标准体系框架九个重点领域，分别开展相应领域地方生态环境标准制修订工作。</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1.推进应对气候变化标准制修订</w:t>
      </w:r>
    </w:p>
    <w:p>
      <w:pPr>
        <w:spacing w:line="560" w:lineRule="exact"/>
        <w:ind w:firstLine="640" w:firstLineChars="200"/>
        <w:rPr>
          <w:rFonts w:hint="eastAsia" w:ascii="仿宋_GB2312" w:eastAsia="仿宋_GB2312" w:cs="仿宋_GB2312"/>
          <w:sz w:val="32"/>
          <w:szCs w:val="32"/>
        </w:rPr>
      </w:pPr>
      <w:r>
        <w:rPr>
          <w:rFonts w:hint="eastAsia" w:eastAsia="仿宋_GB2312"/>
          <w:sz w:val="32"/>
          <w:szCs w:val="32"/>
        </w:rPr>
        <w:t>构建以碳中和目标为导向的标准支撑体系，推动应对气候变化、节约能源、可再生能源利用和建筑绿色发展等方面的标准研究。发挥标准约束引领作用，对标国际先进标准，完善行业碳排放限额和先进值、碳排放核算评价标准体系，逐步形成完善的低碳先进标准体系。</w:t>
      </w:r>
      <w:r>
        <w:rPr>
          <w:rFonts w:hint="eastAsia" w:ascii="仿宋_GB2312" w:eastAsia="仿宋_GB2312" w:cs="仿宋_GB2312"/>
          <w:sz w:val="32"/>
          <w:szCs w:val="32"/>
        </w:rPr>
        <w:t>以标准支撑碳排放控制管理制度，开展行业碳排放核算指南研究，配套北京市碳排放权交易试点，研究制定《碳排放单位二氧化碳排放核算和报告指南 民用航空运输企业》指导碳排放企业开展碳排放核算；强化标准对碳排放的约束引导作用，发布《企事业单位碳中和指南》《大型活动碳中和指南》《电子信息产品碳足迹核算指南》，指导企业、大型活动碳中和相关工作。</w:t>
      </w:r>
    </w:p>
    <w:p>
      <w:pPr>
        <w:spacing w:line="560" w:lineRule="exact"/>
        <w:ind w:firstLine="640" w:firstLineChars="200"/>
        <w:jc w:val="center"/>
        <w:rPr>
          <w:rFonts w:hint="eastAsia" w:ascii="楷体_GB2312" w:eastAsia="楷体_GB2312" w:cs="仿宋_GB2312"/>
          <w:sz w:val="32"/>
          <w:szCs w:val="32"/>
        </w:rPr>
      </w:pPr>
      <w:r>
        <w:rPr>
          <w:rFonts w:hint="eastAsia" w:ascii="楷体_GB2312" w:eastAsia="楷体_GB2312" w:cs="仿宋_GB2312"/>
          <w:sz w:val="32"/>
          <w:szCs w:val="32"/>
        </w:rPr>
        <w:t>表1“十四五”时期应对气候变化领域标准重点项目</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196"/>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jc w:val="center"/>
              <w:rPr>
                <w:rFonts w:ascii="仿宋_GB2312" w:hAnsi="Calibri" w:eastAsia="仿宋_GB2312"/>
                <w:b/>
                <w:sz w:val="28"/>
                <w:szCs w:val="28"/>
              </w:rPr>
            </w:pPr>
            <w:r>
              <w:rPr>
                <w:rFonts w:hint="eastAsia" w:ascii="仿宋_GB2312" w:eastAsia="仿宋_GB2312"/>
                <w:b/>
                <w:sz w:val="28"/>
                <w:szCs w:val="28"/>
              </w:rPr>
              <w:t>序号</w:t>
            </w:r>
          </w:p>
        </w:tc>
        <w:tc>
          <w:tcPr>
            <w:tcW w:w="219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jc w:val="center"/>
              <w:rPr>
                <w:rFonts w:ascii="仿宋_GB2312" w:hAnsi="Calibri" w:eastAsia="仿宋_GB2312"/>
                <w:b/>
                <w:sz w:val="28"/>
                <w:szCs w:val="28"/>
              </w:rPr>
            </w:pPr>
            <w:r>
              <w:rPr>
                <w:rFonts w:hint="eastAsia" w:ascii="仿宋_GB2312" w:eastAsia="仿宋_GB2312"/>
                <w:b/>
                <w:sz w:val="28"/>
                <w:szCs w:val="28"/>
              </w:rPr>
              <w:t>所属领域</w:t>
            </w:r>
          </w:p>
        </w:tc>
        <w:tc>
          <w:tcPr>
            <w:tcW w:w="5988"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jc w:val="center"/>
              <w:rPr>
                <w:rFonts w:ascii="仿宋_GB2312" w:hAnsi="Calibri" w:eastAsia="仿宋_GB2312"/>
                <w:b/>
                <w:sz w:val="28"/>
                <w:szCs w:val="28"/>
              </w:rPr>
            </w:pPr>
            <w:r>
              <w:rPr>
                <w:rFonts w:hint="eastAsia" w:ascii="仿宋_GB2312" w:eastAsia="仿宋_GB2312"/>
                <w:b/>
                <w:sz w:val="28"/>
                <w:szCs w:val="28"/>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1</w:t>
            </w:r>
          </w:p>
        </w:tc>
        <w:tc>
          <w:tcPr>
            <w:tcW w:w="219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应对气候变化</w:t>
            </w:r>
          </w:p>
        </w:tc>
        <w:tc>
          <w:tcPr>
            <w:tcW w:w="5988"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电子信息产品碳足迹核算指南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2</w:t>
            </w:r>
          </w:p>
        </w:tc>
        <w:tc>
          <w:tcPr>
            <w:tcW w:w="219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应对气候变化</w:t>
            </w:r>
          </w:p>
        </w:tc>
        <w:tc>
          <w:tcPr>
            <w:tcW w:w="5988"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企事业单位碳中和实施指南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3</w:t>
            </w:r>
          </w:p>
        </w:tc>
        <w:tc>
          <w:tcPr>
            <w:tcW w:w="219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应对气候变化</w:t>
            </w:r>
          </w:p>
        </w:tc>
        <w:tc>
          <w:tcPr>
            <w:tcW w:w="5988"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大型活动碳中和实施指南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4</w:t>
            </w:r>
          </w:p>
        </w:tc>
        <w:tc>
          <w:tcPr>
            <w:tcW w:w="219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应对气候变化</w:t>
            </w:r>
          </w:p>
        </w:tc>
        <w:tc>
          <w:tcPr>
            <w:tcW w:w="5988"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二氧化碳排放核算和报告要求 民用航空业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5</w:t>
            </w:r>
          </w:p>
        </w:tc>
        <w:tc>
          <w:tcPr>
            <w:tcW w:w="219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应对气候变化</w:t>
            </w:r>
          </w:p>
        </w:tc>
        <w:tc>
          <w:tcPr>
            <w:tcW w:w="5988"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32"/>
              </w:rPr>
              <w:t>其他需要制修订的标准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2" w:type="dxa"/>
            <w:gridSpan w:val="3"/>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4"/>
                <w:szCs w:val="28"/>
              </w:rPr>
              <w:t>备注：根据实际工作需要，可适当调整标准项目</w:t>
            </w:r>
          </w:p>
        </w:tc>
      </w:tr>
    </w:tbl>
    <w:p>
      <w:pPr>
        <w:spacing w:line="560" w:lineRule="exact"/>
        <w:ind w:firstLine="640" w:firstLineChars="200"/>
        <w:rPr>
          <w:rFonts w:hint="eastAsia" w:ascii="仿宋_GB2312" w:hAnsi="Calibri" w:eastAsia="仿宋_GB2312" w:cs="仿宋_GB2312"/>
          <w:b/>
          <w:bCs/>
          <w:szCs w:val="22"/>
        </w:rPr>
      </w:pPr>
      <w:r>
        <w:rPr>
          <w:rFonts w:hint="eastAsia" w:ascii="仿宋_GB2312" w:eastAsia="仿宋_GB2312" w:cs="仿宋_GB2312"/>
          <w:sz w:val="32"/>
          <w:szCs w:val="32"/>
        </w:rPr>
        <w:t>2.推进大气环境保护标准制修订</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以持续改善环境空气质量为目标，重点控制颗粒物（PM</w:t>
      </w:r>
      <w:r>
        <w:rPr>
          <w:rFonts w:hint="eastAsia" w:ascii="仿宋_GB2312" w:eastAsia="仿宋_GB2312" w:cs="仿宋_GB2312"/>
          <w:sz w:val="32"/>
          <w:szCs w:val="32"/>
          <w:vertAlign w:val="subscript"/>
        </w:rPr>
        <w:t>2.5</w:t>
      </w:r>
      <w:r>
        <w:rPr>
          <w:rFonts w:hint="eastAsia" w:ascii="仿宋_GB2312" w:eastAsia="仿宋_GB2312" w:cs="仿宋_GB2312"/>
          <w:sz w:val="32"/>
          <w:szCs w:val="32"/>
        </w:rPr>
        <w:t>和PM</w:t>
      </w:r>
      <w:r>
        <w:rPr>
          <w:rFonts w:hint="eastAsia" w:ascii="仿宋_GB2312" w:eastAsia="仿宋_GB2312" w:cs="仿宋_GB2312"/>
          <w:sz w:val="32"/>
          <w:szCs w:val="32"/>
          <w:vertAlign w:val="subscript"/>
        </w:rPr>
        <w:t>10</w:t>
      </w:r>
      <w:r>
        <w:rPr>
          <w:rFonts w:hint="eastAsia" w:ascii="仿宋_GB2312" w:eastAsia="仿宋_GB2312" w:cs="仿宋_GB2312"/>
          <w:sz w:val="32"/>
          <w:szCs w:val="32"/>
        </w:rPr>
        <w:t>）、氮氧化物、挥发性有机物(VOCs)等主要污染物；按照管理对象将大气环境保护标准化工作分为固定源、移动源、产品环保、技术规范等四个方面。</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固定源方面，针对率先发布实施的部分工业行业排放地方标准，结合国家新发布相关标准，进行提标研究，逐步完善VOCs系列重点标准修订，根据行业生产工艺和污染治理技术发展情况，结合国家《挥发性有机物无组织排放控制标准》和系列产品VOCs含量限值标准最新要求，开展《汽车制造工业大气污染物排放标准》《印刷工业大气污染物排放标准》《汽车维修业大气污染物排放标准》《工业涂装工序大气污染物排放标准》的修订研究，引导企业采用低VOCs含量原料、更先进的生产工艺、更高效的污染防治设施。针对恶臭投诉较多的城镇污水处理厂、垃圾处理厂等，开展排放标准研究制定工作，重点控制恶臭等主要污染物的排放。</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移动源方面，按照国家对移动源排放统一管理的思路，重点落实国家机动车和非道路移动机械相关排放标准，逐步废止部分将被国家标准适用替代的地方标准，修订《在用汽油车排气污染物排放限值及测量方法（遥感检测法）》。研究修订《储油库油气排放控制和限值》《加油站油气排放控制和限值》《油罐车油气排放控制和限值》，严格油气排放管理。</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产品环保方面，进一步加严油品中的主要环保指标，制定发布《车用汽油环保技术要求》《车用柴油环保技术要求》。修订《建筑类涂料与胶粘剂挥发性有机化合物含量限值标准》，并在全市范围内严格实施，落实源头管控，有效减少无组织VOCs。开展消费品VOCs含量限值研究、车用汽油清净性研究等。</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技术规范方面，研究固定源污染防治控制技术规范；研究在用机动车排放检验联网技术规范等。</w:t>
      </w:r>
    </w:p>
    <w:p>
      <w:pPr>
        <w:spacing w:line="560" w:lineRule="exact"/>
        <w:ind w:firstLine="200"/>
        <w:jc w:val="center"/>
        <w:rPr>
          <w:rFonts w:hint="eastAsia" w:ascii="楷体_GB2312" w:eastAsia="楷体_GB2312" w:cs="仿宋_GB2312"/>
          <w:sz w:val="32"/>
          <w:szCs w:val="32"/>
        </w:rPr>
      </w:pPr>
      <w:r>
        <w:rPr>
          <w:rFonts w:hint="eastAsia" w:ascii="楷体_GB2312" w:eastAsia="楷体_GB2312" w:cs="仿宋_GB2312"/>
          <w:sz w:val="32"/>
          <w:szCs w:val="32"/>
        </w:rPr>
        <w:t>表2 “十四五”时期大气领域标准重点项目</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444"/>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仿宋_GB2312" w:hAnsi="Calibri" w:eastAsia="仿宋_GB2312"/>
                <w:b/>
                <w:sz w:val="28"/>
                <w:szCs w:val="28"/>
              </w:rPr>
            </w:pPr>
            <w:r>
              <w:rPr>
                <w:rFonts w:hint="eastAsia" w:ascii="仿宋_GB2312" w:eastAsia="仿宋_GB2312"/>
                <w:b/>
                <w:sz w:val="28"/>
                <w:szCs w:val="28"/>
              </w:rPr>
              <w:t>序号</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仿宋_GB2312" w:hAnsi="Calibri" w:eastAsia="仿宋_GB2312"/>
                <w:b/>
                <w:sz w:val="28"/>
                <w:szCs w:val="28"/>
              </w:rPr>
            </w:pPr>
            <w:r>
              <w:rPr>
                <w:rFonts w:hint="eastAsia" w:ascii="仿宋_GB2312" w:eastAsia="仿宋_GB2312"/>
                <w:b/>
                <w:sz w:val="28"/>
                <w:szCs w:val="28"/>
              </w:rPr>
              <w:t>所属领域</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仿宋_GB2312" w:hAnsi="Calibri" w:eastAsia="仿宋_GB2312"/>
                <w:b/>
                <w:sz w:val="28"/>
                <w:szCs w:val="28"/>
              </w:rPr>
            </w:pPr>
            <w:r>
              <w:rPr>
                <w:rFonts w:hint="eastAsia" w:ascii="仿宋_GB2312" w:eastAsia="仿宋_GB2312"/>
                <w:b/>
                <w:sz w:val="28"/>
                <w:szCs w:val="28"/>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1</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车用柴油环保技术要求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2</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车用汽油环保技术要求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3</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在用汽油车排气污染物排放限值及测量方法（遥感检测法）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4</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建筑类涂料与胶粘剂挥发性有机化合物含量限值标准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5</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道路尘负荷车载移动监测与评价技术规范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Calibri" w:eastAsia="仿宋_GB2312"/>
                <w:sz w:val="28"/>
                <w:szCs w:val="28"/>
              </w:rPr>
            </w:pPr>
            <w:r>
              <w:rPr>
                <w:rFonts w:hint="eastAsia" w:ascii="仿宋_GB2312" w:eastAsia="仿宋_GB2312"/>
                <w:sz w:val="28"/>
                <w:szCs w:val="28"/>
              </w:rPr>
              <w:t>6</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汽车制造工业大气污染物排放标准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Calibri" w:eastAsia="仿宋_GB2312"/>
                <w:sz w:val="28"/>
                <w:szCs w:val="28"/>
              </w:rPr>
            </w:pPr>
            <w:r>
              <w:rPr>
                <w:rFonts w:hint="eastAsia" w:ascii="仿宋_GB2312" w:eastAsia="仿宋_GB2312"/>
                <w:sz w:val="28"/>
                <w:szCs w:val="28"/>
              </w:rPr>
              <w:t>7</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印刷工业大气污染物排放标准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Calibri" w:eastAsia="仿宋_GB2312"/>
                <w:sz w:val="28"/>
                <w:szCs w:val="28"/>
              </w:rPr>
            </w:pPr>
            <w:r>
              <w:rPr>
                <w:rFonts w:hint="eastAsia" w:ascii="仿宋_GB2312" w:eastAsia="仿宋_GB2312"/>
                <w:sz w:val="28"/>
                <w:szCs w:val="28"/>
              </w:rPr>
              <w:t>8</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汽车维修业大气污染物排放标准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Calibri" w:eastAsia="仿宋_GB2312"/>
                <w:sz w:val="28"/>
                <w:szCs w:val="28"/>
              </w:rPr>
            </w:pPr>
            <w:r>
              <w:rPr>
                <w:rFonts w:hint="eastAsia" w:ascii="仿宋_GB2312" w:eastAsia="仿宋_GB2312"/>
                <w:sz w:val="28"/>
                <w:szCs w:val="28"/>
              </w:rPr>
              <w:t>9</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工业涂装工序大气污染物排放标准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Calibri" w:eastAsia="仿宋_GB2312"/>
                <w:sz w:val="28"/>
                <w:szCs w:val="28"/>
              </w:rPr>
            </w:pPr>
            <w:r>
              <w:rPr>
                <w:rFonts w:hint="eastAsia" w:ascii="仿宋_GB2312" w:eastAsia="仿宋_GB2312"/>
                <w:sz w:val="28"/>
                <w:szCs w:val="28"/>
              </w:rPr>
              <w:t>10</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储油库油气排放控制和限值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Calibri" w:eastAsia="仿宋_GB2312"/>
                <w:sz w:val="28"/>
                <w:szCs w:val="28"/>
              </w:rPr>
            </w:pPr>
            <w:r>
              <w:rPr>
                <w:rFonts w:hint="eastAsia" w:ascii="仿宋_GB2312" w:eastAsia="仿宋_GB2312"/>
                <w:sz w:val="28"/>
                <w:szCs w:val="28"/>
              </w:rPr>
              <w:t>11</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加油站油气排放控制和限值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Calibri" w:eastAsia="仿宋_GB2312"/>
                <w:sz w:val="28"/>
                <w:szCs w:val="28"/>
              </w:rPr>
            </w:pPr>
            <w:r>
              <w:rPr>
                <w:rFonts w:hint="eastAsia" w:ascii="仿宋_GB2312" w:eastAsia="仿宋_GB2312"/>
                <w:sz w:val="28"/>
                <w:szCs w:val="28"/>
              </w:rPr>
              <w:t>12</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油罐车油气排放控制和限制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Calibri" w:eastAsia="仿宋_GB2312"/>
                <w:sz w:val="28"/>
                <w:szCs w:val="28"/>
              </w:rPr>
            </w:pPr>
            <w:r>
              <w:rPr>
                <w:rFonts w:hint="eastAsia" w:ascii="仿宋_GB2312" w:eastAsia="仿宋_GB2312"/>
                <w:sz w:val="28"/>
                <w:szCs w:val="28"/>
              </w:rPr>
              <w:t>13</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车用汽油清净性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Calibri" w:eastAsia="仿宋_GB2312"/>
                <w:sz w:val="28"/>
                <w:szCs w:val="28"/>
              </w:rPr>
            </w:pPr>
            <w:r>
              <w:rPr>
                <w:rFonts w:hint="eastAsia" w:ascii="仿宋_GB2312" w:eastAsia="仿宋_GB2312"/>
                <w:sz w:val="28"/>
                <w:szCs w:val="28"/>
              </w:rPr>
              <w:t>14</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cs="仿宋_GB2312"/>
                <w:kern w:val="0"/>
                <w:sz w:val="28"/>
                <w:szCs w:val="28"/>
                <w:lang w:val="zh-CN"/>
              </w:rPr>
              <w:t>在用机动车排放检验联网技术规范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Calibri" w:eastAsia="仿宋_GB2312"/>
                <w:sz w:val="28"/>
                <w:szCs w:val="28"/>
              </w:rPr>
            </w:pPr>
            <w:r>
              <w:rPr>
                <w:rFonts w:hint="eastAsia" w:ascii="仿宋_GB2312" w:eastAsia="仿宋_GB2312"/>
                <w:sz w:val="28"/>
                <w:szCs w:val="28"/>
              </w:rPr>
              <w:t>15</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大气总悬浮物颗粒物网格化监测技术规范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Calibri" w:eastAsia="仿宋_GB2312"/>
                <w:sz w:val="28"/>
                <w:szCs w:val="28"/>
              </w:rPr>
            </w:pPr>
            <w:r>
              <w:rPr>
                <w:rFonts w:hint="eastAsia" w:ascii="仿宋_GB2312" w:eastAsia="仿宋_GB2312"/>
                <w:sz w:val="28"/>
                <w:szCs w:val="28"/>
              </w:rPr>
              <w:t>16</w:t>
            </w:r>
          </w:p>
        </w:tc>
        <w:tc>
          <w:tcPr>
            <w:tcW w:w="1444"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28"/>
              </w:rPr>
              <w:t>大气</w:t>
            </w:r>
          </w:p>
        </w:tc>
        <w:tc>
          <w:tcPr>
            <w:tcW w:w="6690"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8"/>
                <w:szCs w:val="32"/>
              </w:rPr>
              <w:t>其他需要制修订的标准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2" w:type="dxa"/>
            <w:gridSpan w:val="3"/>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28"/>
              </w:rPr>
            </w:pPr>
            <w:r>
              <w:rPr>
                <w:rFonts w:hint="eastAsia" w:ascii="仿宋_GB2312" w:eastAsia="仿宋_GB2312"/>
                <w:sz w:val="24"/>
                <w:szCs w:val="28"/>
              </w:rPr>
              <w:t>备注：根据实际工作需要，可适当调整标准项目</w:t>
            </w:r>
          </w:p>
        </w:tc>
      </w:tr>
    </w:tbl>
    <w:p>
      <w:pPr>
        <w:spacing w:line="560" w:lineRule="exact"/>
        <w:ind w:firstLine="640" w:firstLineChars="200"/>
        <w:rPr>
          <w:rFonts w:hint="eastAsia" w:ascii="仿宋_GB2312" w:hAnsi="Calibri" w:eastAsia="仿宋_GB2312" w:cs="仿宋_GB2312"/>
          <w:b/>
          <w:bCs/>
          <w:szCs w:val="22"/>
        </w:rPr>
      </w:pPr>
      <w:r>
        <w:rPr>
          <w:rFonts w:hint="eastAsia" w:ascii="仿宋_GB2312" w:eastAsia="仿宋_GB2312" w:cs="仿宋_GB2312"/>
          <w:sz w:val="32"/>
          <w:szCs w:val="32"/>
        </w:rPr>
        <w:t>3.推进水生态环境保护标准制修订</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以持续改善水生态环境质量为核心，推进水环境、水资源、水生态“三水统筹”。以水污染物综合排放标准、城镇污水处理厂和农村污水处理设施排放标准为基准，强化各行业、各领域水污染物排放管控，开展相关涉水生态环境标准实施成效评估。根据实际需要，开展标准更新修订，确保标准的适用性、科学性、先进性，指导推进科学、合理、可行的水污染防治技术应用，保障首都水生态环境质量。</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衔接国家医疗污水等行业标准，指导开展全市重点行业污染防治工作，确保国家及本市要求落实到位；研究基于光谱法的水质自动监测及溯源预警评价技术规范，提升水环境精细化监管水平。</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建立水生态环境状况监测评价体系，对标国家人工湿地、生态缓冲带建设等生态修复技术指南，推进重点流域水生态保护与修复，研究水生态状况评价、河湖生态修复工程实施成效评价等，为流域水生态改善提供标准支持。</w:t>
      </w:r>
    </w:p>
    <w:p>
      <w:pPr>
        <w:adjustRightInd w:val="0"/>
        <w:spacing w:line="560" w:lineRule="exact"/>
        <w:jc w:val="center"/>
        <w:rPr>
          <w:rFonts w:hint="eastAsia" w:ascii="楷体_GB2312" w:eastAsia="楷体_GB2312" w:cs="仿宋_GB2312"/>
          <w:sz w:val="32"/>
          <w:szCs w:val="32"/>
        </w:rPr>
      </w:pPr>
      <w:r>
        <w:rPr>
          <w:rFonts w:hint="eastAsia" w:ascii="楷体_GB2312" w:eastAsia="楷体_GB2312" w:cs="仿宋_GB2312"/>
          <w:sz w:val="32"/>
          <w:szCs w:val="32"/>
        </w:rPr>
        <w:t>表3“十四五”时期水领域标准重点项目</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899"/>
        <w:gridCol w:w="6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7"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jc w:val="center"/>
              <w:rPr>
                <w:rFonts w:ascii="仿宋_GB2312" w:hAnsi="Calibri" w:eastAsia="仿宋_GB2312"/>
                <w:b/>
                <w:sz w:val="28"/>
                <w:szCs w:val="32"/>
              </w:rPr>
            </w:pPr>
            <w:r>
              <w:rPr>
                <w:rFonts w:hint="eastAsia" w:ascii="仿宋_GB2312" w:eastAsia="仿宋_GB2312"/>
                <w:b/>
                <w:sz w:val="28"/>
                <w:szCs w:val="32"/>
              </w:rPr>
              <w:t>序号</w:t>
            </w:r>
          </w:p>
        </w:tc>
        <w:tc>
          <w:tcPr>
            <w:tcW w:w="1899"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jc w:val="center"/>
              <w:rPr>
                <w:rFonts w:ascii="仿宋_GB2312" w:hAnsi="Calibri" w:eastAsia="仿宋_GB2312"/>
                <w:b/>
                <w:sz w:val="28"/>
                <w:szCs w:val="32"/>
              </w:rPr>
            </w:pPr>
            <w:r>
              <w:rPr>
                <w:rFonts w:hint="eastAsia" w:ascii="仿宋_GB2312" w:eastAsia="仿宋_GB2312"/>
                <w:b/>
                <w:sz w:val="28"/>
                <w:szCs w:val="32"/>
              </w:rPr>
              <w:t>所属领域</w:t>
            </w:r>
          </w:p>
        </w:tc>
        <w:tc>
          <w:tcPr>
            <w:tcW w:w="601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jc w:val="center"/>
              <w:rPr>
                <w:rFonts w:ascii="仿宋_GB2312" w:hAnsi="Calibri" w:eastAsia="仿宋_GB2312"/>
                <w:b/>
                <w:sz w:val="28"/>
                <w:szCs w:val="32"/>
              </w:rPr>
            </w:pPr>
            <w:r>
              <w:rPr>
                <w:rFonts w:hint="eastAsia" w:ascii="仿宋_GB2312" w:eastAsia="仿宋_GB2312"/>
                <w:b/>
                <w:sz w:val="28"/>
                <w:szCs w:val="32"/>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7"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8"/>
                <w:szCs w:val="32"/>
              </w:rPr>
              <w:t>1</w:t>
            </w:r>
          </w:p>
        </w:tc>
        <w:tc>
          <w:tcPr>
            <w:tcW w:w="1899"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rPr>
                <w:rFonts w:ascii="仿宋_GB2312" w:hAnsi="Calibri" w:eastAsia="仿宋_GB2312"/>
                <w:sz w:val="28"/>
                <w:szCs w:val="32"/>
              </w:rPr>
            </w:pPr>
            <w:r>
              <w:rPr>
                <w:rFonts w:hint="eastAsia" w:ascii="仿宋_GB2312" w:eastAsia="仿宋_GB2312"/>
                <w:sz w:val="28"/>
                <w:szCs w:val="32"/>
              </w:rPr>
              <w:t>水</w:t>
            </w:r>
          </w:p>
        </w:tc>
        <w:tc>
          <w:tcPr>
            <w:tcW w:w="6016"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rPr>
                <w:rFonts w:ascii="仿宋_GB2312" w:hAnsi="Calibri" w:eastAsia="仿宋_GB2312"/>
                <w:sz w:val="28"/>
                <w:szCs w:val="32"/>
              </w:rPr>
            </w:pPr>
            <w:r>
              <w:rPr>
                <w:rFonts w:hint="eastAsia" w:ascii="仿宋_GB2312" w:eastAsia="仿宋_GB2312"/>
                <w:sz w:val="28"/>
                <w:szCs w:val="32"/>
              </w:rPr>
              <w:t>流域水生态状况评价技术规范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7"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8"/>
                <w:szCs w:val="32"/>
              </w:rPr>
              <w:t>2</w:t>
            </w:r>
          </w:p>
        </w:tc>
        <w:tc>
          <w:tcPr>
            <w:tcW w:w="1899"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rPr>
                <w:rFonts w:ascii="仿宋_GB2312" w:hAnsi="Calibri" w:eastAsia="仿宋_GB2312"/>
                <w:sz w:val="28"/>
                <w:szCs w:val="32"/>
              </w:rPr>
            </w:pPr>
            <w:r>
              <w:rPr>
                <w:rFonts w:hint="eastAsia" w:ascii="仿宋_GB2312" w:eastAsia="仿宋_GB2312"/>
                <w:sz w:val="28"/>
                <w:szCs w:val="32"/>
              </w:rPr>
              <w:t>水</w:t>
            </w:r>
          </w:p>
        </w:tc>
        <w:tc>
          <w:tcPr>
            <w:tcW w:w="6016"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rPr>
                <w:rFonts w:ascii="仿宋_GB2312" w:hAnsi="Calibri" w:eastAsia="仿宋_GB2312"/>
                <w:sz w:val="28"/>
                <w:szCs w:val="32"/>
              </w:rPr>
            </w:pPr>
            <w:r>
              <w:rPr>
                <w:rFonts w:hint="eastAsia" w:ascii="仿宋_GB2312" w:eastAsia="仿宋_GB2312"/>
                <w:sz w:val="28"/>
                <w:szCs w:val="32"/>
              </w:rPr>
              <w:t>水质光谱法自动监测及溯源预警技术规范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7"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8"/>
                <w:szCs w:val="32"/>
              </w:rPr>
              <w:t>3</w:t>
            </w:r>
          </w:p>
        </w:tc>
        <w:tc>
          <w:tcPr>
            <w:tcW w:w="1899"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8"/>
                <w:szCs w:val="32"/>
              </w:rPr>
              <w:t>水</w:t>
            </w:r>
          </w:p>
        </w:tc>
        <w:tc>
          <w:tcPr>
            <w:tcW w:w="601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8"/>
                <w:szCs w:val="32"/>
              </w:rPr>
              <w:t>其他需要制修订的标准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2" w:type="dxa"/>
            <w:gridSpan w:val="3"/>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4"/>
                <w:szCs w:val="28"/>
              </w:rPr>
              <w:t>备注：根据实际工作需要，可适当调整标准项目</w:t>
            </w:r>
          </w:p>
        </w:tc>
      </w:tr>
    </w:tbl>
    <w:p>
      <w:pPr>
        <w:spacing w:line="560" w:lineRule="exact"/>
        <w:ind w:firstLine="640" w:firstLineChars="200"/>
        <w:rPr>
          <w:rFonts w:hint="eastAsia" w:ascii="仿宋_GB2312" w:hAnsi="Calibri" w:eastAsia="仿宋_GB2312" w:cs="仿宋_GB2312"/>
          <w:sz w:val="32"/>
          <w:szCs w:val="32"/>
        </w:rPr>
      </w:pPr>
      <w:r>
        <w:rPr>
          <w:rFonts w:hint="eastAsia" w:ascii="仿宋_GB2312" w:eastAsia="仿宋_GB2312" w:cs="仿宋_GB2312"/>
          <w:sz w:val="32"/>
          <w:szCs w:val="32"/>
        </w:rPr>
        <w:t>4.推进土壤生态环境保护标准制修订</w:t>
      </w:r>
    </w:p>
    <w:p>
      <w:pPr>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坚持预防为主、保护优先，有效管控土壤环境风险。按照土壤性质、用途分别进行风险管控和修复，切实保障土壤环境安全。按照土壤污染防治工作阶段，分为调查监测、风险管控和修复两个方面。</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调查监测方面，随着全市工业企业入园进程持续深入，需结合产业布局特点，完善工业园区土壤污染防治措施，研究重点工业园区土壤污染状况调查指南。为提高监管效率，规范遥感监测技术手段在土壤污染防治中的应用，研究编制重点建设用地遥感监测技术指南。</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风险管控和修复方面，根据《中华人民共和国土壤污染防治法》和国家已有的修复技术导则，结合实际，修订已出台的地方土壤修复方案编制导则；对于短期内没有再开发利用计划的受污染地块，研究暂不开发利用受污染建设用地风险管控指南。</w:t>
      </w:r>
    </w:p>
    <w:p>
      <w:pPr>
        <w:adjustRightInd w:val="0"/>
        <w:spacing w:line="560" w:lineRule="exact"/>
        <w:jc w:val="center"/>
        <w:rPr>
          <w:rFonts w:hint="eastAsia" w:ascii="楷体_GB2312" w:hAnsi="Calibri" w:eastAsia="楷体_GB2312" w:cs="仿宋_GB2312"/>
          <w:sz w:val="32"/>
          <w:szCs w:val="32"/>
        </w:rPr>
      </w:pPr>
      <w:r>
        <w:rPr>
          <w:rFonts w:hint="eastAsia" w:ascii="楷体_GB2312" w:eastAsia="楷体_GB2312" w:cs="仿宋_GB2312"/>
          <w:sz w:val="32"/>
          <w:szCs w:val="32"/>
        </w:rPr>
        <w:t>表4“十四五”时期土壤领域标准重点项目</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026"/>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jc w:val="center"/>
              <w:rPr>
                <w:rFonts w:ascii="仿宋_GB2312" w:hAnsi="Calibri" w:eastAsia="仿宋_GB2312"/>
                <w:b/>
                <w:sz w:val="28"/>
                <w:szCs w:val="32"/>
              </w:rPr>
            </w:pPr>
            <w:r>
              <w:rPr>
                <w:rFonts w:hint="eastAsia" w:ascii="仿宋_GB2312" w:eastAsia="仿宋_GB2312"/>
                <w:b/>
                <w:sz w:val="28"/>
                <w:szCs w:val="32"/>
              </w:rPr>
              <w:t>序号</w:t>
            </w:r>
          </w:p>
        </w:tc>
        <w:tc>
          <w:tcPr>
            <w:tcW w:w="202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jc w:val="center"/>
              <w:rPr>
                <w:rFonts w:ascii="仿宋_GB2312" w:hAnsi="Calibri" w:eastAsia="仿宋_GB2312"/>
                <w:b/>
                <w:sz w:val="28"/>
                <w:szCs w:val="32"/>
              </w:rPr>
            </w:pPr>
            <w:r>
              <w:rPr>
                <w:rFonts w:hint="eastAsia" w:ascii="仿宋_GB2312" w:eastAsia="仿宋_GB2312"/>
                <w:b/>
                <w:sz w:val="28"/>
                <w:szCs w:val="32"/>
              </w:rPr>
              <w:t>所属领域</w:t>
            </w:r>
          </w:p>
        </w:tc>
        <w:tc>
          <w:tcPr>
            <w:tcW w:w="6044"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jc w:val="center"/>
              <w:rPr>
                <w:rFonts w:ascii="仿宋_GB2312" w:hAnsi="Calibri" w:eastAsia="仿宋_GB2312"/>
                <w:b/>
                <w:sz w:val="28"/>
                <w:szCs w:val="32"/>
              </w:rPr>
            </w:pPr>
            <w:r>
              <w:rPr>
                <w:rFonts w:hint="eastAsia" w:ascii="仿宋_GB2312" w:eastAsia="仿宋_GB2312"/>
                <w:b/>
                <w:sz w:val="28"/>
                <w:szCs w:val="32"/>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8"/>
                <w:szCs w:val="32"/>
              </w:rPr>
              <w:t>1</w:t>
            </w:r>
          </w:p>
        </w:tc>
        <w:tc>
          <w:tcPr>
            <w:tcW w:w="202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8"/>
                <w:szCs w:val="32"/>
              </w:rPr>
              <w:t>土壤</w:t>
            </w:r>
          </w:p>
        </w:tc>
        <w:tc>
          <w:tcPr>
            <w:tcW w:w="6044"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8"/>
                <w:szCs w:val="32"/>
              </w:rPr>
              <w:t>重点工业园区土壤污染状况调查指南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8"/>
                <w:szCs w:val="32"/>
              </w:rPr>
              <w:t>2</w:t>
            </w:r>
          </w:p>
        </w:tc>
        <w:tc>
          <w:tcPr>
            <w:tcW w:w="202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8"/>
                <w:szCs w:val="32"/>
              </w:rPr>
              <w:t>土壤</w:t>
            </w:r>
          </w:p>
        </w:tc>
        <w:tc>
          <w:tcPr>
            <w:tcW w:w="6044"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rPr>
                <w:rFonts w:ascii="仿宋_GB2312" w:hAnsi="Calibri" w:eastAsia="仿宋_GB2312"/>
                <w:sz w:val="28"/>
                <w:szCs w:val="32"/>
              </w:rPr>
            </w:pPr>
            <w:r>
              <w:rPr>
                <w:rFonts w:hint="eastAsia" w:ascii="仿宋_GB2312" w:eastAsia="仿宋_GB2312"/>
                <w:sz w:val="28"/>
                <w:szCs w:val="32"/>
              </w:rPr>
              <w:t>重点建设用地遥感监测技术指南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8"/>
                <w:szCs w:val="32"/>
              </w:rPr>
              <w:t>3</w:t>
            </w: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rPr>
                <w:rFonts w:ascii="仿宋_GB2312" w:hAnsi="Calibri" w:eastAsia="仿宋_GB2312"/>
                <w:sz w:val="28"/>
                <w:szCs w:val="32"/>
              </w:rPr>
            </w:pPr>
            <w:r>
              <w:rPr>
                <w:rFonts w:hint="eastAsia" w:ascii="仿宋_GB2312" w:eastAsia="仿宋_GB2312"/>
                <w:sz w:val="28"/>
                <w:szCs w:val="32"/>
              </w:rPr>
              <w:t>土壤</w:t>
            </w:r>
          </w:p>
        </w:tc>
        <w:tc>
          <w:tcPr>
            <w:tcW w:w="6044"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rPr>
                <w:rFonts w:ascii="仿宋_GB2312" w:hAnsi="Calibri" w:eastAsia="仿宋_GB2312"/>
                <w:sz w:val="28"/>
                <w:szCs w:val="32"/>
              </w:rPr>
            </w:pPr>
            <w:r>
              <w:rPr>
                <w:rFonts w:hint="eastAsia" w:ascii="仿宋_GB2312" w:eastAsia="仿宋_GB2312"/>
                <w:sz w:val="28"/>
                <w:szCs w:val="32"/>
              </w:rPr>
              <w:t>建设用地后期管理技术指南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8"/>
                <w:szCs w:val="32"/>
              </w:rPr>
              <w:t>4</w:t>
            </w: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rPr>
                <w:rFonts w:ascii="仿宋_GB2312" w:hAnsi="Calibri" w:eastAsia="仿宋_GB2312"/>
                <w:sz w:val="28"/>
                <w:szCs w:val="32"/>
              </w:rPr>
            </w:pPr>
            <w:r>
              <w:rPr>
                <w:rFonts w:hint="eastAsia" w:ascii="仿宋_GB2312" w:eastAsia="仿宋_GB2312"/>
                <w:sz w:val="28"/>
                <w:szCs w:val="32"/>
              </w:rPr>
              <w:t>土壤</w:t>
            </w:r>
          </w:p>
        </w:tc>
        <w:tc>
          <w:tcPr>
            <w:tcW w:w="6044"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rPr>
                <w:rFonts w:ascii="仿宋_GB2312" w:hAnsi="Calibri" w:eastAsia="仿宋_GB2312"/>
                <w:sz w:val="28"/>
                <w:szCs w:val="32"/>
              </w:rPr>
            </w:pPr>
            <w:r>
              <w:rPr>
                <w:rFonts w:hint="eastAsia" w:ascii="仿宋_GB2312" w:eastAsia="仿宋_GB2312"/>
                <w:sz w:val="28"/>
                <w:szCs w:val="32"/>
              </w:rPr>
              <w:t>暂不开发利用受污染建设用地风险管控指南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8"/>
                <w:szCs w:val="32"/>
              </w:rPr>
              <w:t>5</w:t>
            </w: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rPr>
                <w:rFonts w:ascii="仿宋_GB2312" w:hAnsi="Calibri" w:eastAsia="仿宋_GB2312"/>
                <w:color w:val="FF0000"/>
                <w:sz w:val="28"/>
                <w:szCs w:val="32"/>
              </w:rPr>
            </w:pPr>
            <w:r>
              <w:rPr>
                <w:rFonts w:hint="eastAsia" w:ascii="仿宋_GB2312" w:eastAsia="仿宋_GB2312"/>
                <w:sz w:val="28"/>
                <w:szCs w:val="32"/>
              </w:rPr>
              <w:t>土壤</w:t>
            </w:r>
          </w:p>
        </w:tc>
        <w:tc>
          <w:tcPr>
            <w:tcW w:w="6044"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rPr>
                <w:rFonts w:ascii="仿宋_GB2312" w:hAnsi="Calibri" w:eastAsia="仿宋_GB2312"/>
                <w:color w:val="FF0000"/>
                <w:sz w:val="28"/>
                <w:szCs w:val="32"/>
              </w:rPr>
            </w:pPr>
            <w:r>
              <w:rPr>
                <w:rFonts w:hint="eastAsia" w:ascii="仿宋_GB2312" w:eastAsia="仿宋_GB2312"/>
                <w:sz w:val="28"/>
                <w:szCs w:val="32"/>
              </w:rPr>
              <w:t>其他需要制修订的标准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2" w:type="dxa"/>
            <w:gridSpan w:val="3"/>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32"/>
              </w:rPr>
            </w:pPr>
            <w:r>
              <w:rPr>
                <w:rFonts w:hint="eastAsia" w:ascii="仿宋_GB2312" w:eastAsia="仿宋_GB2312"/>
                <w:sz w:val="24"/>
                <w:szCs w:val="28"/>
              </w:rPr>
              <w:t>备注：根据实际工作需要，可适当调整标准项目</w:t>
            </w:r>
          </w:p>
        </w:tc>
      </w:tr>
    </w:tbl>
    <w:p>
      <w:pPr>
        <w:spacing w:line="560" w:lineRule="exact"/>
        <w:ind w:firstLine="640" w:firstLineChars="200"/>
        <w:rPr>
          <w:rFonts w:hint="eastAsia" w:ascii="仿宋_GB2312" w:hAnsi="Calibri" w:eastAsia="仿宋_GB2312" w:cs="仿宋_GB2312"/>
          <w:b/>
          <w:bCs/>
          <w:szCs w:val="22"/>
        </w:rPr>
      </w:pPr>
      <w:r>
        <w:rPr>
          <w:rFonts w:hint="eastAsia" w:ascii="仿宋_GB2312" w:eastAsia="仿宋_GB2312" w:cs="仿宋_GB2312"/>
          <w:sz w:val="32"/>
          <w:szCs w:val="32"/>
        </w:rPr>
        <w:t>5.推进自然生态保护标准制修订</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以提升生态系统质量和稳定性为目标，围绕提升生态环境质量、强化生态监管体系建设和生物多样性保护等重点工作，将自然生态保护标准化工作分为生态环境质量评估、生态空间监管、生物多样性保护等三个方面。</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生态环境质量评估方面，制定生态环境质量评价技术规范，深入开展全市及各区生态环境质量评价，探索开展集中建成区、生态保护红线及其他生态空间、重点生态工程等专题生态环境质量评价。建设生态质量监测网络，探索运用新技术，研究常态化监测技术规范。</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生态监管方面，研究编制生态保护红线人类活动监测预警标准的可行性，严守生态保护红线。</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生物多样性保护方面，研究编制生物多样性调查技术规范，开展鸟类、高等植物、哺乳动物等调查，为夯实生物多样性保护工作提供技术支撑。</w:t>
      </w:r>
    </w:p>
    <w:p>
      <w:pPr>
        <w:adjustRightInd w:val="0"/>
        <w:spacing w:line="560" w:lineRule="exact"/>
        <w:jc w:val="center"/>
        <w:rPr>
          <w:rFonts w:hint="eastAsia" w:ascii="楷体_GB2312" w:eastAsia="楷体_GB2312" w:cs="仿宋_GB2312"/>
          <w:sz w:val="32"/>
          <w:szCs w:val="32"/>
        </w:rPr>
      </w:pPr>
      <w:r>
        <w:rPr>
          <w:rFonts w:hint="eastAsia" w:ascii="楷体_GB2312" w:eastAsia="楷体_GB2312" w:cs="仿宋_GB2312"/>
          <w:sz w:val="32"/>
          <w:szCs w:val="32"/>
        </w:rPr>
        <w:t>表5“十四五”时期生态领域标准重点项目</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653"/>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2"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jc w:val="center"/>
              <w:rPr>
                <w:rFonts w:ascii="仿宋_GB2312" w:hAnsi="Calibri" w:eastAsia="仿宋_GB2312"/>
                <w:b/>
                <w:sz w:val="28"/>
                <w:szCs w:val="32"/>
              </w:rPr>
            </w:pPr>
            <w:r>
              <w:rPr>
                <w:rFonts w:hint="eastAsia" w:ascii="仿宋_GB2312" w:eastAsia="仿宋_GB2312"/>
                <w:b/>
                <w:sz w:val="28"/>
                <w:szCs w:val="32"/>
              </w:rPr>
              <w:t>序号</w:t>
            </w:r>
          </w:p>
        </w:tc>
        <w:tc>
          <w:tcPr>
            <w:tcW w:w="1653"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jc w:val="center"/>
              <w:rPr>
                <w:rFonts w:ascii="仿宋_GB2312" w:hAnsi="Calibri" w:eastAsia="仿宋_GB2312"/>
                <w:b/>
                <w:sz w:val="28"/>
                <w:szCs w:val="32"/>
              </w:rPr>
            </w:pPr>
            <w:r>
              <w:rPr>
                <w:rFonts w:hint="eastAsia" w:ascii="仿宋_GB2312" w:eastAsia="仿宋_GB2312"/>
                <w:b/>
                <w:sz w:val="28"/>
                <w:szCs w:val="32"/>
              </w:rPr>
              <w:t>所属领域</w:t>
            </w:r>
          </w:p>
        </w:tc>
        <w:tc>
          <w:tcPr>
            <w:tcW w:w="6327"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jc w:val="center"/>
              <w:rPr>
                <w:rFonts w:ascii="仿宋_GB2312" w:hAnsi="Calibri" w:eastAsia="仿宋_GB2312"/>
                <w:b/>
                <w:sz w:val="28"/>
                <w:szCs w:val="32"/>
              </w:rPr>
            </w:pPr>
            <w:r>
              <w:rPr>
                <w:rFonts w:hint="eastAsia" w:ascii="仿宋_GB2312" w:eastAsia="仿宋_GB2312"/>
                <w:b/>
                <w:sz w:val="28"/>
                <w:szCs w:val="32"/>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2"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ascii="仿宋_GB2312" w:hAnsi="Calibri" w:eastAsia="仿宋_GB2312"/>
                <w:sz w:val="28"/>
                <w:szCs w:val="32"/>
              </w:rPr>
            </w:pPr>
            <w:r>
              <w:rPr>
                <w:rFonts w:hint="eastAsia" w:ascii="仿宋_GB2312" w:eastAsia="仿宋_GB2312"/>
                <w:sz w:val="28"/>
                <w:szCs w:val="32"/>
              </w:rPr>
              <w:t>1</w:t>
            </w:r>
          </w:p>
        </w:tc>
        <w:tc>
          <w:tcPr>
            <w:tcW w:w="1653"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ascii="仿宋_GB2312" w:hAnsi="Calibri" w:eastAsia="仿宋_GB2312"/>
                <w:sz w:val="28"/>
                <w:szCs w:val="32"/>
              </w:rPr>
            </w:pPr>
            <w:r>
              <w:rPr>
                <w:rFonts w:hint="eastAsia" w:ascii="仿宋_GB2312" w:eastAsia="仿宋_GB2312"/>
                <w:sz w:val="28"/>
                <w:szCs w:val="32"/>
              </w:rPr>
              <w:t>生态</w:t>
            </w:r>
          </w:p>
        </w:tc>
        <w:tc>
          <w:tcPr>
            <w:tcW w:w="6327"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ascii="仿宋_GB2312" w:hAnsi="Calibri" w:eastAsia="仿宋_GB2312"/>
                <w:sz w:val="28"/>
                <w:szCs w:val="32"/>
              </w:rPr>
            </w:pPr>
            <w:r>
              <w:rPr>
                <w:rFonts w:hint="eastAsia" w:ascii="仿宋_GB2312" w:eastAsia="仿宋_GB2312"/>
                <w:sz w:val="28"/>
                <w:szCs w:val="32"/>
              </w:rPr>
              <w:t>生态环境质量评价技术规范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2"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ascii="仿宋_GB2312" w:hAnsi="Calibri" w:eastAsia="仿宋_GB2312"/>
                <w:sz w:val="28"/>
                <w:szCs w:val="32"/>
              </w:rPr>
            </w:pPr>
            <w:r>
              <w:rPr>
                <w:rFonts w:hint="eastAsia" w:ascii="仿宋_GB2312" w:eastAsia="仿宋_GB2312"/>
                <w:sz w:val="28"/>
                <w:szCs w:val="32"/>
              </w:rPr>
              <w:t>2</w:t>
            </w:r>
          </w:p>
        </w:tc>
        <w:tc>
          <w:tcPr>
            <w:tcW w:w="1653"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ascii="仿宋_GB2312" w:hAnsi="Calibri" w:eastAsia="仿宋_GB2312"/>
                <w:sz w:val="28"/>
                <w:szCs w:val="32"/>
              </w:rPr>
            </w:pPr>
            <w:r>
              <w:rPr>
                <w:rFonts w:hint="eastAsia" w:ascii="仿宋_GB2312" w:eastAsia="仿宋_GB2312"/>
                <w:sz w:val="28"/>
                <w:szCs w:val="32"/>
              </w:rPr>
              <w:t>生态</w:t>
            </w:r>
          </w:p>
        </w:tc>
        <w:tc>
          <w:tcPr>
            <w:tcW w:w="6327"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ascii="仿宋_GB2312" w:hAnsi="Calibri" w:eastAsia="仿宋_GB2312"/>
                <w:sz w:val="28"/>
                <w:szCs w:val="32"/>
              </w:rPr>
            </w:pPr>
            <w:r>
              <w:rPr>
                <w:rFonts w:hint="eastAsia" w:ascii="仿宋_GB2312" w:eastAsia="仿宋_GB2312"/>
                <w:sz w:val="28"/>
                <w:szCs w:val="32"/>
              </w:rPr>
              <w:t>生态质量监测网络建设技术规范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2"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hint="eastAsia" w:ascii="仿宋_GB2312" w:hAnsi="Calibri" w:eastAsia="仿宋_GB2312"/>
                <w:sz w:val="28"/>
                <w:szCs w:val="32"/>
              </w:rPr>
            </w:pPr>
            <w:r>
              <w:rPr>
                <w:rFonts w:hint="eastAsia" w:ascii="仿宋_GB2312" w:eastAsia="仿宋_GB2312"/>
                <w:sz w:val="28"/>
                <w:szCs w:val="32"/>
              </w:rPr>
              <w:t>3</w:t>
            </w:r>
          </w:p>
        </w:tc>
        <w:tc>
          <w:tcPr>
            <w:tcW w:w="1653"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ascii="仿宋_GB2312" w:hAnsi="Calibri" w:eastAsia="仿宋_GB2312"/>
                <w:color w:val="FF0000"/>
                <w:sz w:val="28"/>
                <w:szCs w:val="32"/>
              </w:rPr>
            </w:pPr>
            <w:r>
              <w:rPr>
                <w:rFonts w:hint="eastAsia" w:ascii="仿宋_GB2312" w:eastAsia="仿宋_GB2312"/>
                <w:sz w:val="28"/>
                <w:szCs w:val="32"/>
              </w:rPr>
              <w:t>生态</w:t>
            </w:r>
          </w:p>
        </w:tc>
        <w:tc>
          <w:tcPr>
            <w:tcW w:w="6327"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hint="eastAsia" w:ascii="仿宋_GB2312" w:hAnsi="Calibri" w:eastAsia="仿宋_GB2312"/>
                <w:color w:val="FF0000"/>
                <w:sz w:val="28"/>
                <w:szCs w:val="32"/>
              </w:rPr>
            </w:pPr>
            <w:r>
              <w:rPr>
                <w:rFonts w:hint="eastAsia" w:ascii="仿宋_GB2312" w:eastAsia="仿宋_GB2312"/>
                <w:sz w:val="28"/>
                <w:szCs w:val="32"/>
              </w:rPr>
              <w:t>生物多样性调查技术规范 第1部分：鸟类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2"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hint="eastAsia" w:ascii="仿宋_GB2312" w:hAnsi="Calibri" w:eastAsia="仿宋_GB2312"/>
                <w:sz w:val="28"/>
                <w:szCs w:val="32"/>
              </w:rPr>
            </w:pPr>
            <w:r>
              <w:rPr>
                <w:rFonts w:hint="eastAsia" w:ascii="仿宋_GB2312" w:eastAsia="仿宋_GB2312"/>
                <w:sz w:val="28"/>
                <w:szCs w:val="32"/>
              </w:rPr>
              <w:t>4</w:t>
            </w:r>
          </w:p>
        </w:tc>
        <w:tc>
          <w:tcPr>
            <w:tcW w:w="1653"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ascii="仿宋_GB2312" w:hAnsi="Calibri" w:eastAsia="仿宋_GB2312"/>
                <w:sz w:val="28"/>
                <w:szCs w:val="32"/>
              </w:rPr>
            </w:pPr>
            <w:r>
              <w:rPr>
                <w:rFonts w:hint="eastAsia" w:ascii="仿宋_GB2312" w:eastAsia="仿宋_GB2312"/>
                <w:sz w:val="28"/>
                <w:szCs w:val="32"/>
              </w:rPr>
              <w:t>生态</w:t>
            </w:r>
          </w:p>
        </w:tc>
        <w:tc>
          <w:tcPr>
            <w:tcW w:w="6327"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ascii="仿宋_GB2312" w:hAnsi="Calibri" w:eastAsia="仿宋_GB2312"/>
                <w:sz w:val="28"/>
                <w:szCs w:val="32"/>
              </w:rPr>
            </w:pPr>
            <w:r>
              <w:rPr>
                <w:rFonts w:hint="eastAsia" w:ascii="仿宋_GB2312" w:eastAsia="仿宋_GB2312"/>
                <w:sz w:val="28"/>
                <w:szCs w:val="32"/>
              </w:rPr>
              <w:t>生物多样性调查技术规范 第2部分：高等植物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2"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hint="eastAsia" w:ascii="仿宋_GB2312" w:hAnsi="Calibri" w:eastAsia="仿宋_GB2312"/>
                <w:sz w:val="28"/>
                <w:szCs w:val="32"/>
              </w:rPr>
            </w:pPr>
            <w:r>
              <w:rPr>
                <w:rFonts w:hint="eastAsia" w:ascii="仿宋_GB2312" w:eastAsia="仿宋_GB2312"/>
                <w:sz w:val="28"/>
                <w:szCs w:val="32"/>
              </w:rPr>
              <w:t>5</w:t>
            </w:r>
          </w:p>
        </w:tc>
        <w:tc>
          <w:tcPr>
            <w:tcW w:w="1653"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ascii="仿宋_GB2312" w:hAnsi="Calibri" w:eastAsia="仿宋_GB2312"/>
                <w:sz w:val="28"/>
                <w:szCs w:val="32"/>
              </w:rPr>
            </w:pPr>
            <w:r>
              <w:rPr>
                <w:rFonts w:hint="eastAsia" w:ascii="仿宋_GB2312" w:eastAsia="仿宋_GB2312"/>
                <w:sz w:val="28"/>
                <w:szCs w:val="32"/>
              </w:rPr>
              <w:t>生态</w:t>
            </w:r>
          </w:p>
        </w:tc>
        <w:tc>
          <w:tcPr>
            <w:tcW w:w="6327"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ascii="仿宋_GB2312" w:hAnsi="Calibri" w:eastAsia="仿宋_GB2312"/>
                <w:sz w:val="28"/>
                <w:szCs w:val="32"/>
              </w:rPr>
            </w:pPr>
            <w:r>
              <w:rPr>
                <w:rFonts w:hint="eastAsia" w:ascii="仿宋_GB2312" w:eastAsia="仿宋_GB2312"/>
                <w:sz w:val="28"/>
                <w:szCs w:val="32"/>
              </w:rPr>
              <w:t>生物多样性调查技术规范 第3部分：哺乳动物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2"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hint="eastAsia" w:ascii="仿宋_GB2312" w:hAnsi="Calibri" w:eastAsia="仿宋_GB2312"/>
                <w:sz w:val="28"/>
                <w:szCs w:val="32"/>
              </w:rPr>
            </w:pPr>
            <w:r>
              <w:rPr>
                <w:rFonts w:hint="eastAsia" w:ascii="仿宋_GB2312" w:eastAsia="仿宋_GB2312"/>
                <w:sz w:val="28"/>
                <w:szCs w:val="32"/>
              </w:rPr>
              <w:t>6</w:t>
            </w:r>
          </w:p>
        </w:tc>
        <w:tc>
          <w:tcPr>
            <w:tcW w:w="1653"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ascii="仿宋_GB2312" w:hAnsi="Calibri" w:eastAsia="仿宋_GB2312"/>
                <w:sz w:val="28"/>
                <w:szCs w:val="32"/>
              </w:rPr>
            </w:pPr>
            <w:r>
              <w:rPr>
                <w:rFonts w:hint="eastAsia" w:ascii="仿宋_GB2312" w:eastAsia="仿宋_GB2312"/>
                <w:sz w:val="28"/>
                <w:szCs w:val="32"/>
              </w:rPr>
              <w:t>生态</w:t>
            </w:r>
          </w:p>
        </w:tc>
        <w:tc>
          <w:tcPr>
            <w:tcW w:w="6327" w:type="dxa"/>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ascii="仿宋_GB2312" w:hAnsi="Calibri" w:eastAsia="仿宋_GB2312"/>
                <w:sz w:val="28"/>
                <w:szCs w:val="32"/>
              </w:rPr>
            </w:pPr>
            <w:r>
              <w:rPr>
                <w:rFonts w:hint="eastAsia" w:ascii="仿宋_GB2312" w:eastAsia="仿宋_GB2312"/>
                <w:sz w:val="28"/>
                <w:szCs w:val="32"/>
              </w:rPr>
              <w:t>其他需要制修订的标准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2" w:type="dxa"/>
            <w:gridSpan w:val="3"/>
            <w:tcBorders>
              <w:top w:val="single" w:color="auto" w:sz="4" w:space="0"/>
              <w:left w:val="single" w:color="auto" w:sz="4" w:space="0"/>
              <w:bottom w:val="single" w:color="auto" w:sz="4" w:space="0"/>
              <w:right w:val="single" w:color="auto" w:sz="4" w:space="0"/>
            </w:tcBorders>
            <w:vAlign w:val="top"/>
          </w:tcPr>
          <w:p>
            <w:pPr>
              <w:adjustRightInd w:val="0"/>
              <w:spacing w:line="440" w:lineRule="exact"/>
              <w:rPr>
                <w:rFonts w:ascii="仿宋_GB2312" w:hAnsi="Calibri" w:eastAsia="仿宋_GB2312"/>
                <w:sz w:val="28"/>
                <w:szCs w:val="32"/>
              </w:rPr>
            </w:pPr>
            <w:r>
              <w:rPr>
                <w:rFonts w:hint="eastAsia" w:ascii="仿宋_GB2312" w:eastAsia="仿宋_GB2312"/>
                <w:sz w:val="24"/>
                <w:szCs w:val="28"/>
              </w:rPr>
              <w:t>备注：根据实际工作需要，可适当调整标准项目</w:t>
            </w:r>
          </w:p>
        </w:tc>
      </w:tr>
    </w:tbl>
    <w:p>
      <w:pPr>
        <w:spacing w:line="560" w:lineRule="exact"/>
        <w:ind w:firstLine="640" w:firstLineChars="200"/>
        <w:rPr>
          <w:rFonts w:hint="eastAsia" w:ascii="仿宋_GB2312" w:hAnsi="Calibri" w:eastAsia="仿宋_GB2312" w:cs="仿宋_GB2312"/>
          <w:sz w:val="32"/>
          <w:szCs w:val="32"/>
        </w:rPr>
      </w:pPr>
      <w:r>
        <w:rPr>
          <w:rFonts w:hint="eastAsia" w:ascii="仿宋_GB2312" w:eastAsia="仿宋_GB2312" w:cs="仿宋_GB2312"/>
          <w:sz w:val="32"/>
          <w:szCs w:val="32"/>
        </w:rPr>
        <w:t>6.推进固体废物污染防治标准制修订</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bCs/>
          <w:sz w:val="32"/>
          <w:szCs w:val="32"/>
        </w:rPr>
        <w:t>坚持减量化、资源化和无害化原则，着力提升固体废物环境监管、风险防控和利用处置能力。严格执行国家相关标准规范，加强全过程管理，确保固体废物及时、妥善和无害化处置。结合新冠疫情防控实际需求和医疗废物远期处置规划，创新</w:t>
      </w:r>
      <w:r>
        <w:rPr>
          <w:rFonts w:hint="eastAsia" w:ascii="仿宋_GB2312" w:eastAsia="仿宋_GB2312" w:cs="仿宋_GB2312"/>
          <w:sz w:val="32"/>
          <w:szCs w:val="32"/>
        </w:rPr>
        <w:t>开展生活垃圾焚烧协同处置医疗废物技术研究评价工作，制定《生活垃圾协同处置医疗废物技术规范》，</w:t>
      </w:r>
      <w:r>
        <w:rPr>
          <w:rFonts w:hint="eastAsia" w:ascii="仿宋_GB2312" w:eastAsia="仿宋_GB2312"/>
          <w:bCs/>
          <w:sz w:val="32"/>
          <w:szCs w:val="32"/>
        </w:rPr>
        <w:t>切实维护人民群众身体健康和生态环境安全</w:t>
      </w:r>
      <w:r>
        <w:rPr>
          <w:rFonts w:hint="eastAsia" w:ascii="仿宋_GB2312" w:eastAsia="仿宋_GB2312" w:cs="仿宋_GB2312"/>
          <w:sz w:val="32"/>
          <w:szCs w:val="32"/>
        </w:rPr>
        <w:t>。</w:t>
      </w:r>
    </w:p>
    <w:p>
      <w:pPr>
        <w:adjustRightInd w:val="0"/>
        <w:spacing w:line="560" w:lineRule="exact"/>
        <w:jc w:val="center"/>
        <w:rPr>
          <w:rFonts w:hint="eastAsia" w:ascii="楷体_GB2312" w:eastAsia="楷体_GB2312" w:cs="仿宋_GB2312"/>
          <w:sz w:val="32"/>
          <w:szCs w:val="32"/>
        </w:rPr>
      </w:pPr>
      <w:r>
        <w:rPr>
          <w:rFonts w:hint="eastAsia" w:ascii="楷体_GB2312" w:eastAsia="楷体_GB2312" w:cs="仿宋_GB2312"/>
          <w:sz w:val="32"/>
          <w:szCs w:val="32"/>
        </w:rPr>
        <w:t>表6 “十四五”时期固体废物领域标准重点项目</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826"/>
        <w:gridCol w:w="6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jc w:val="center"/>
              <w:rPr>
                <w:rFonts w:ascii="仿宋_GB2312" w:hAnsi="Calibri" w:eastAsia="仿宋_GB2312"/>
                <w:b/>
                <w:sz w:val="28"/>
                <w:szCs w:val="28"/>
              </w:rPr>
            </w:pPr>
            <w:r>
              <w:rPr>
                <w:rFonts w:hint="eastAsia" w:ascii="仿宋_GB2312" w:eastAsia="仿宋_GB2312"/>
                <w:b/>
                <w:sz w:val="28"/>
                <w:szCs w:val="28"/>
              </w:rPr>
              <w:t>序号</w:t>
            </w:r>
          </w:p>
        </w:tc>
        <w:tc>
          <w:tcPr>
            <w:tcW w:w="182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jc w:val="center"/>
              <w:rPr>
                <w:rFonts w:ascii="仿宋_GB2312" w:hAnsi="Calibri" w:eastAsia="仿宋_GB2312"/>
                <w:b/>
                <w:sz w:val="28"/>
                <w:szCs w:val="28"/>
              </w:rPr>
            </w:pPr>
            <w:r>
              <w:rPr>
                <w:rFonts w:hint="eastAsia" w:ascii="仿宋_GB2312" w:eastAsia="仿宋_GB2312"/>
                <w:b/>
                <w:sz w:val="28"/>
                <w:szCs w:val="28"/>
              </w:rPr>
              <w:t>所属领域</w:t>
            </w:r>
          </w:p>
        </w:tc>
        <w:tc>
          <w:tcPr>
            <w:tcW w:w="610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jc w:val="center"/>
              <w:rPr>
                <w:rFonts w:ascii="仿宋_GB2312" w:hAnsi="Calibri" w:eastAsia="仿宋_GB2312"/>
                <w:b/>
                <w:sz w:val="28"/>
                <w:szCs w:val="28"/>
              </w:rPr>
            </w:pPr>
            <w:r>
              <w:rPr>
                <w:rFonts w:hint="eastAsia" w:ascii="仿宋_GB2312" w:eastAsia="仿宋_GB2312"/>
                <w:b/>
                <w:sz w:val="28"/>
                <w:szCs w:val="28"/>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1</w:t>
            </w:r>
          </w:p>
        </w:tc>
        <w:tc>
          <w:tcPr>
            <w:tcW w:w="1826"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rPr>
                <w:rFonts w:ascii="仿宋_GB2312" w:hAnsi="Calibri" w:eastAsia="仿宋_GB2312"/>
                <w:sz w:val="28"/>
                <w:szCs w:val="28"/>
              </w:rPr>
            </w:pPr>
            <w:r>
              <w:rPr>
                <w:rFonts w:hint="eastAsia" w:ascii="仿宋_GB2312" w:eastAsia="仿宋_GB2312"/>
                <w:sz w:val="28"/>
                <w:szCs w:val="28"/>
              </w:rPr>
              <w:t>固体废物</w:t>
            </w:r>
          </w:p>
        </w:tc>
        <w:tc>
          <w:tcPr>
            <w:tcW w:w="6102"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rPr>
                <w:rFonts w:ascii="仿宋_GB2312" w:hAnsi="Calibri" w:eastAsia="仿宋_GB2312"/>
                <w:sz w:val="28"/>
                <w:szCs w:val="28"/>
              </w:rPr>
            </w:pPr>
            <w:r>
              <w:rPr>
                <w:rFonts w:hint="eastAsia" w:ascii="仿宋_GB2312" w:eastAsia="仿宋_GB2312"/>
                <w:sz w:val="28"/>
                <w:szCs w:val="28"/>
              </w:rPr>
              <w:t>生活垃圾协同处置医疗废物技术规范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4"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2</w:t>
            </w:r>
          </w:p>
        </w:tc>
        <w:tc>
          <w:tcPr>
            <w:tcW w:w="182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固体废物</w:t>
            </w:r>
          </w:p>
        </w:tc>
        <w:tc>
          <w:tcPr>
            <w:tcW w:w="610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其他需要制修订的标准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2" w:type="dxa"/>
            <w:gridSpan w:val="3"/>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32"/>
                <w:szCs w:val="32"/>
              </w:rPr>
            </w:pPr>
            <w:r>
              <w:rPr>
                <w:rFonts w:hint="eastAsia" w:ascii="仿宋_GB2312" w:eastAsia="仿宋_GB2312"/>
                <w:sz w:val="24"/>
                <w:szCs w:val="28"/>
              </w:rPr>
              <w:t>备注：根据实际工作需要，可适当调整标准项目</w:t>
            </w:r>
          </w:p>
        </w:tc>
      </w:tr>
    </w:tbl>
    <w:p>
      <w:pPr>
        <w:spacing w:line="560" w:lineRule="exact"/>
        <w:ind w:firstLine="640" w:firstLineChars="200"/>
        <w:rPr>
          <w:rFonts w:hint="eastAsia" w:ascii="仿宋_GB2312" w:hAnsi="Calibri" w:eastAsia="仿宋_GB2312" w:cs="仿宋_GB2312"/>
          <w:sz w:val="32"/>
          <w:szCs w:val="32"/>
        </w:rPr>
      </w:pPr>
      <w:r>
        <w:rPr>
          <w:rFonts w:hint="eastAsia" w:ascii="仿宋_GB2312" w:eastAsia="仿宋_GB2312" w:cs="仿宋_GB2312"/>
          <w:sz w:val="32"/>
          <w:szCs w:val="32"/>
        </w:rPr>
        <w:t>7.推进噪声污染防治标准制修订</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坚持“以人民为中心”理念，着力解决公众反映强烈的交通噪声、施工噪声等问题。提升噪声防治监管能力，严格执行国家声环境质量标准、工业企业和社会噪声排放等标准，探索建立适合地方实际的噪声评价指标体系。将噪声污染防治理念融入建筑物规划、建设和交通干线防护，推动在建筑设计、施工等相关领域标准中增加振动和噪声防治措施，提高敏感建筑物选址和建设要求，强化轨道交通选线设计，尽量避让已建敏感建筑物。开展轨道交通噪声污染防治实用技术指南研究，以及地铁（地下段）振动源强等环境噪声、振动监测评价相关标准研究。</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8.推进核与电磁辐射标准制修订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严格防控核与辐射环境安全风险，提升监管能力。按照国家相关标准统一管理，严格源头管控、全过程监管，按照风险源将辐射标准化工作分为核与辐射、电磁辐射两个方面。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核与辐射方面，以严格的标准加强放射源进口、射线装置生产等源头单位的管理，结合本市核技术利用行业发展特点，进一步完善射线探伤等移动高风险源使用单位管理，研究医疗系统核医学科标准管理要求，规范放射性废物（源）分类收集、暂存处置等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电磁辐射方面，加强广播电视发射台站、高压输变电设施、5G基站等大型、新型电磁设施周边环境监测，研究提出地方输变电建设项目相关电磁辐射环境管理要求，研究制定电磁辐射环境监测技术规范。制定输变电项目审评技术规范，开展自验收项目技术评估。</w:t>
      </w:r>
    </w:p>
    <w:p>
      <w:pPr>
        <w:adjustRightInd w:val="0"/>
        <w:spacing w:line="560" w:lineRule="exact"/>
        <w:jc w:val="center"/>
        <w:rPr>
          <w:rFonts w:hint="eastAsia" w:ascii="楷体_GB2312" w:hAnsi="Calibri" w:eastAsia="楷体_GB2312" w:cs="仿宋_GB2312"/>
          <w:sz w:val="32"/>
          <w:szCs w:val="32"/>
        </w:rPr>
      </w:pPr>
      <w:r>
        <w:rPr>
          <w:rFonts w:hint="eastAsia" w:ascii="楷体_GB2312" w:eastAsia="楷体_GB2312" w:cs="仿宋_GB2312"/>
          <w:sz w:val="32"/>
          <w:szCs w:val="32"/>
        </w:rPr>
        <w:t>表7  “十四五”时期核与电磁辐射领域标准重点项目</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642"/>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68"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仿宋_GB2312" w:hAnsi="Calibri" w:eastAsia="仿宋_GB2312"/>
                <w:b/>
                <w:sz w:val="28"/>
                <w:szCs w:val="32"/>
              </w:rPr>
            </w:pPr>
            <w:r>
              <w:rPr>
                <w:rFonts w:hint="eastAsia" w:ascii="仿宋_GB2312" w:eastAsia="仿宋_GB2312"/>
                <w:b/>
                <w:sz w:val="28"/>
                <w:szCs w:val="32"/>
              </w:rPr>
              <w:t>序号</w:t>
            </w:r>
          </w:p>
        </w:tc>
        <w:tc>
          <w:tcPr>
            <w:tcW w:w="1642"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仿宋_GB2312" w:hAnsi="Calibri" w:eastAsia="仿宋_GB2312"/>
                <w:b/>
                <w:sz w:val="28"/>
                <w:szCs w:val="32"/>
              </w:rPr>
            </w:pPr>
            <w:r>
              <w:rPr>
                <w:rFonts w:hint="eastAsia" w:ascii="仿宋_GB2312" w:eastAsia="仿宋_GB2312"/>
                <w:b/>
                <w:sz w:val="28"/>
                <w:szCs w:val="32"/>
              </w:rPr>
              <w:t>所属领域</w:t>
            </w:r>
          </w:p>
        </w:tc>
        <w:tc>
          <w:tcPr>
            <w:tcW w:w="6462"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仿宋_GB2312" w:hAnsi="Calibri" w:eastAsia="仿宋_GB2312"/>
                <w:b/>
                <w:sz w:val="28"/>
                <w:szCs w:val="32"/>
              </w:rPr>
            </w:pPr>
            <w:r>
              <w:rPr>
                <w:rFonts w:hint="eastAsia" w:ascii="仿宋_GB2312" w:eastAsia="仿宋_GB2312"/>
                <w:b/>
                <w:sz w:val="28"/>
                <w:szCs w:val="32"/>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32"/>
              </w:rPr>
            </w:pPr>
            <w:r>
              <w:rPr>
                <w:rFonts w:hint="eastAsia" w:ascii="仿宋_GB2312" w:eastAsia="仿宋_GB2312"/>
                <w:sz w:val="28"/>
                <w:szCs w:val="32"/>
              </w:rPr>
              <w:t>1</w:t>
            </w:r>
          </w:p>
        </w:tc>
        <w:tc>
          <w:tcPr>
            <w:tcW w:w="1642"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32"/>
              </w:rPr>
            </w:pPr>
            <w:r>
              <w:rPr>
                <w:rFonts w:hint="eastAsia" w:ascii="仿宋_GB2312" w:eastAsia="仿宋_GB2312"/>
                <w:sz w:val="28"/>
                <w:szCs w:val="32"/>
              </w:rPr>
              <w:t>辐射</w:t>
            </w:r>
          </w:p>
        </w:tc>
        <w:tc>
          <w:tcPr>
            <w:tcW w:w="6462"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32"/>
              </w:rPr>
            </w:pPr>
            <w:r>
              <w:rPr>
                <w:rFonts w:hint="eastAsia" w:ascii="仿宋_GB2312" w:eastAsia="仿宋_GB2312"/>
                <w:sz w:val="28"/>
                <w:szCs w:val="32"/>
              </w:rPr>
              <w:t>射频电磁辐射车载巡测技术规范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Calibri" w:eastAsia="仿宋_GB2312"/>
                <w:sz w:val="28"/>
                <w:szCs w:val="32"/>
              </w:rPr>
            </w:pPr>
            <w:r>
              <w:rPr>
                <w:rFonts w:hint="eastAsia" w:ascii="仿宋_GB2312" w:eastAsia="仿宋_GB2312"/>
                <w:sz w:val="28"/>
                <w:szCs w:val="32"/>
              </w:rPr>
              <w:t>2</w:t>
            </w:r>
          </w:p>
        </w:tc>
        <w:tc>
          <w:tcPr>
            <w:tcW w:w="1642"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32"/>
              </w:rPr>
            </w:pPr>
            <w:r>
              <w:rPr>
                <w:rFonts w:hint="eastAsia" w:ascii="仿宋_GB2312" w:eastAsia="仿宋_GB2312"/>
                <w:sz w:val="28"/>
                <w:szCs w:val="32"/>
              </w:rPr>
              <w:t>辐射</w:t>
            </w:r>
          </w:p>
        </w:tc>
        <w:tc>
          <w:tcPr>
            <w:tcW w:w="6462"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32"/>
              </w:rPr>
            </w:pPr>
            <w:r>
              <w:rPr>
                <w:rFonts w:hint="eastAsia" w:ascii="仿宋_GB2312" w:eastAsia="仿宋_GB2312"/>
                <w:sz w:val="28"/>
                <w:szCs w:val="32"/>
              </w:rPr>
              <w:t>工业射线探伤辐射安全和防护分级管理要求（修订）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Calibri" w:eastAsia="仿宋_GB2312"/>
                <w:sz w:val="28"/>
                <w:szCs w:val="32"/>
              </w:rPr>
            </w:pPr>
            <w:r>
              <w:rPr>
                <w:rFonts w:hint="eastAsia" w:ascii="仿宋_GB2312" w:eastAsia="仿宋_GB2312"/>
                <w:sz w:val="28"/>
                <w:szCs w:val="32"/>
              </w:rPr>
              <w:t>3</w:t>
            </w:r>
          </w:p>
        </w:tc>
        <w:tc>
          <w:tcPr>
            <w:tcW w:w="1642"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32"/>
              </w:rPr>
            </w:pPr>
            <w:r>
              <w:rPr>
                <w:rFonts w:hint="eastAsia" w:ascii="仿宋_GB2312" w:eastAsia="仿宋_GB2312"/>
                <w:sz w:val="28"/>
                <w:szCs w:val="32"/>
              </w:rPr>
              <w:t>辐射</w:t>
            </w:r>
          </w:p>
        </w:tc>
        <w:tc>
          <w:tcPr>
            <w:tcW w:w="6462"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32"/>
              </w:rPr>
            </w:pPr>
            <w:r>
              <w:rPr>
                <w:rFonts w:hint="eastAsia" w:ascii="仿宋_GB2312" w:eastAsia="仿宋_GB2312"/>
                <w:sz w:val="28"/>
                <w:szCs w:val="32"/>
              </w:rPr>
              <w:t>中子剂量当量率监测技术规范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Calibri" w:eastAsia="仿宋_GB2312"/>
                <w:sz w:val="28"/>
                <w:szCs w:val="32"/>
              </w:rPr>
            </w:pPr>
            <w:r>
              <w:rPr>
                <w:rFonts w:hint="eastAsia" w:ascii="仿宋_GB2312" w:eastAsia="仿宋_GB2312"/>
                <w:sz w:val="28"/>
                <w:szCs w:val="32"/>
              </w:rPr>
              <w:t>4</w:t>
            </w:r>
          </w:p>
        </w:tc>
        <w:tc>
          <w:tcPr>
            <w:tcW w:w="1642"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32"/>
              </w:rPr>
            </w:pPr>
            <w:r>
              <w:rPr>
                <w:rFonts w:hint="eastAsia" w:ascii="仿宋_GB2312" w:eastAsia="仿宋_GB2312"/>
                <w:sz w:val="28"/>
                <w:szCs w:val="32"/>
              </w:rPr>
              <w:t>辐射</w:t>
            </w:r>
          </w:p>
        </w:tc>
        <w:tc>
          <w:tcPr>
            <w:tcW w:w="6462" w:type="dxa"/>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32"/>
              </w:rPr>
            </w:pPr>
            <w:r>
              <w:rPr>
                <w:rFonts w:hint="eastAsia" w:ascii="仿宋_GB2312" w:eastAsia="仿宋_GB2312"/>
                <w:sz w:val="28"/>
                <w:szCs w:val="32"/>
              </w:rPr>
              <w:t>其他需要制修订的标准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2" w:type="dxa"/>
            <w:gridSpan w:val="3"/>
            <w:tcBorders>
              <w:top w:val="single" w:color="auto" w:sz="4" w:space="0"/>
              <w:left w:val="single" w:color="auto" w:sz="4" w:space="0"/>
              <w:bottom w:val="single" w:color="auto" w:sz="4" w:space="0"/>
              <w:right w:val="single" w:color="auto" w:sz="4" w:space="0"/>
            </w:tcBorders>
            <w:vAlign w:val="top"/>
          </w:tcPr>
          <w:p>
            <w:pPr>
              <w:spacing w:line="560" w:lineRule="exact"/>
              <w:rPr>
                <w:rFonts w:ascii="仿宋_GB2312" w:hAnsi="Calibri" w:eastAsia="仿宋_GB2312"/>
                <w:sz w:val="28"/>
                <w:szCs w:val="32"/>
              </w:rPr>
            </w:pPr>
            <w:r>
              <w:rPr>
                <w:rFonts w:hint="eastAsia" w:ascii="仿宋_GB2312" w:eastAsia="仿宋_GB2312"/>
                <w:sz w:val="24"/>
                <w:szCs w:val="28"/>
              </w:rPr>
              <w:t>备注：根据实际工作需要，可适当调整标准项目</w:t>
            </w:r>
          </w:p>
        </w:tc>
      </w:tr>
    </w:tbl>
    <w:p>
      <w:pPr>
        <w:spacing w:line="560" w:lineRule="exact"/>
        <w:ind w:firstLine="640" w:firstLineChars="200"/>
        <w:rPr>
          <w:rFonts w:hint="eastAsia" w:ascii="仿宋_GB2312" w:hAnsi="Calibri" w:eastAsia="仿宋_GB2312" w:cs="仿宋_GB2312"/>
          <w:sz w:val="32"/>
          <w:szCs w:val="32"/>
        </w:rPr>
      </w:pPr>
      <w:r>
        <w:rPr>
          <w:rFonts w:hint="eastAsia" w:ascii="仿宋_GB2312" w:eastAsia="仿宋_GB2312" w:cs="仿宋_GB2312"/>
          <w:sz w:val="32"/>
          <w:szCs w:val="32"/>
        </w:rPr>
        <w:t>9.推进其他标准制修订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配套污染物排放标准实施，服务于排放标准中污染物项目监测，规范监测点位设置及要求，是排放标准有效实施的主要保障。统一规范的监测方法和技术规范，也是保障监测数据有效性、检测公平性的主要依据。按照管理需求，将其他领域标准分为监测方法标准、环境影响评价标准、清洁生产标准等三个主要方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监测方法标准方面，地方标准中监测方法标准以补充国家尚未制定的标准为主，针对国家暂无方法标准，但地方排放标准中须进行监测的污染物项目，适时进行配套调整。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环境影响评价标准方面，选择建设数量多、环境污染显著、环评文件编制质量有待提高的行业，开展环境影响评价技术要点研究，包括：集成电路、医疗机构、汽车维修、汽车制造等，同时开展将碳排放纳入环境影响评价体系可行性研究。</w:t>
      </w:r>
    </w:p>
    <w:p>
      <w:pPr>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清洁生产标准方面，修订发布工业清洁生产审核技术通则，研究修订汽车、家具、印刷、医药等行业清洁生产指标体系标准，提高首都环境治理能力建设水平。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除上述领域外，结合科技发展和管理需求转变，不断创新扩充标准体系中的标准领域，开展生态环境领域大数据相关研究，提升生态环境大数据获取、应用等方面的规范化水平。</w:t>
      </w:r>
    </w:p>
    <w:p>
      <w:pPr>
        <w:adjustRightInd w:val="0"/>
        <w:spacing w:line="560" w:lineRule="exact"/>
        <w:jc w:val="center"/>
        <w:rPr>
          <w:rFonts w:hint="eastAsia" w:ascii="楷体_GB2312" w:hAnsi="Calibri" w:eastAsia="楷体_GB2312" w:cs="仿宋_GB2312"/>
          <w:sz w:val="32"/>
          <w:szCs w:val="32"/>
        </w:rPr>
      </w:pPr>
      <w:r>
        <w:rPr>
          <w:rFonts w:hint="eastAsia" w:ascii="楷体_GB2312" w:eastAsia="楷体_GB2312" w:cs="仿宋_GB2312"/>
          <w:sz w:val="32"/>
          <w:szCs w:val="32"/>
        </w:rPr>
        <w:t>表8  “十四五”时期其他领域标准重点项目</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52"/>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jc w:val="center"/>
              <w:rPr>
                <w:rFonts w:ascii="仿宋_GB2312" w:hAnsi="Calibri" w:eastAsia="仿宋_GB2312"/>
                <w:b/>
                <w:sz w:val="28"/>
                <w:szCs w:val="28"/>
              </w:rPr>
            </w:pPr>
            <w:r>
              <w:rPr>
                <w:rFonts w:hint="eastAsia" w:ascii="仿宋_GB2312" w:eastAsia="仿宋_GB2312"/>
                <w:b/>
                <w:sz w:val="28"/>
                <w:szCs w:val="28"/>
              </w:rPr>
              <w:t>序号</w:t>
            </w:r>
          </w:p>
        </w:tc>
        <w:tc>
          <w:tcPr>
            <w:tcW w:w="135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jc w:val="center"/>
              <w:rPr>
                <w:rFonts w:ascii="仿宋_GB2312" w:hAnsi="Calibri" w:eastAsia="仿宋_GB2312"/>
                <w:b/>
                <w:sz w:val="28"/>
                <w:szCs w:val="28"/>
              </w:rPr>
            </w:pPr>
            <w:r>
              <w:rPr>
                <w:rFonts w:hint="eastAsia" w:ascii="仿宋_GB2312" w:eastAsia="仿宋_GB2312"/>
                <w:b/>
                <w:sz w:val="28"/>
                <w:szCs w:val="28"/>
              </w:rPr>
              <w:t>所属领域</w:t>
            </w:r>
          </w:p>
        </w:tc>
        <w:tc>
          <w:tcPr>
            <w:tcW w:w="6934"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jc w:val="center"/>
              <w:rPr>
                <w:rFonts w:ascii="仿宋_GB2312" w:hAnsi="Calibri" w:eastAsia="仿宋_GB2312"/>
                <w:b/>
                <w:sz w:val="28"/>
                <w:szCs w:val="28"/>
              </w:rPr>
            </w:pPr>
            <w:r>
              <w:rPr>
                <w:rFonts w:hint="eastAsia" w:ascii="仿宋_GB2312" w:eastAsia="仿宋_GB2312"/>
                <w:b/>
                <w:sz w:val="28"/>
                <w:szCs w:val="28"/>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1</w:t>
            </w:r>
          </w:p>
        </w:tc>
        <w:tc>
          <w:tcPr>
            <w:tcW w:w="135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其他</w:t>
            </w:r>
          </w:p>
        </w:tc>
        <w:tc>
          <w:tcPr>
            <w:tcW w:w="6934"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液氨贮存使用单位环境风险防控技术规范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2</w:t>
            </w:r>
          </w:p>
        </w:tc>
        <w:tc>
          <w:tcPr>
            <w:tcW w:w="135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其他</w:t>
            </w:r>
          </w:p>
        </w:tc>
        <w:tc>
          <w:tcPr>
            <w:tcW w:w="6934"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工业清洁生产审核技术通则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3</w:t>
            </w:r>
          </w:p>
        </w:tc>
        <w:tc>
          <w:tcPr>
            <w:tcW w:w="135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其他</w:t>
            </w:r>
          </w:p>
        </w:tc>
        <w:tc>
          <w:tcPr>
            <w:tcW w:w="6934"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建设项目环境影响评价技术指南 集成电路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4</w:t>
            </w:r>
          </w:p>
        </w:tc>
        <w:tc>
          <w:tcPr>
            <w:tcW w:w="135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其他</w:t>
            </w:r>
          </w:p>
        </w:tc>
        <w:tc>
          <w:tcPr>
            <w:tcW w:w="6934"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建设项目环境影响评价技术指南 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5</w:t>
            </w:r>
          </w:p>
        </w:tc>
        <w:tc>
          <w:tcPr>
            <w:tcW w:w="135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其他</w:t>
            </w:r>
          </w:p>
        </w:tc>
        <w:tc>
          <w:tcPr>
            <w:tcW w:w="6934"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建设项目环境影响评价技术指南 汽车维修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6</w:t>
            </w:r>
          </w:p>
        </w:tc>
        <w:tc>
          <w:tcPr>
            <w:tcW w:w="135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其他</w:t>
            </w:r>
          </w:p>
        </w:tc>
        <w:tc>
          <w:tcPr>
            <w:tcW w:w="6934"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建设项目环境影响评价技术指南 碳排放评价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7</w:t>
            </w:r>
          </w:p>
        </w:tc>
        <w:tc>
          <w:tcPr>
            <w:tcW w:w="135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其他</w:t>
            </w:r>
          </w:p>
        </w:tc>
        <w:tc>
          <w:tcPr>
            <w:tcW w:w="6934"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挥发性有机物车载移动监测技术规范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8"/>
                <w:szCs w:val="28"/>
              </w:rPr>
              <w:t>8</w:t>
            </w:r>
          </w:p>
        </w:tc>
        <w:tc>
          <w:tcPr>
            <w:tcW w:w="1352"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trike/>
                <w:color w:val="FF0000"/>
                <w:sz w:val="28"/>
                <w:szCs w:val="28"/>
              </w:rPr>
            </w:pPr>
            <w:r>
              <w:rPr>
                <w:rFonts w:hint="eastAsia" w:ascii="仿宋_GB2312" w:eastAsia="仿宋_GB2312"/>
                <w:sz w:val="28"/>
                <w:szCs w:val="28"/>
              </w:rPr>
              <w:t>其他</w:t>
            </w:r>
          </w:p>
        </w:tc>
        <w:tc>
          <w:tcPr>
            <w:tcW w:w="6934" w:type="dxa"/>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trike/>
                <w:color w:val="FF0000"/>
                <w:sz w:val="28"/>
                <w:szCs w:val="28"/>
              </w:rPr>
            </w:pPr>
            <w:r>
              <w:rPr>
                <w:rFonts w:hint="eastAsia" w:ascii="仿宋_GB2312" w:eastAsia="仿宋_GB2312"/>
                <w:sz w:val="28"/>
                <w:szCs w:val="32"/>
              </w:rPr>
              <w:t>其他需要制修订的标准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2" w:type="dxa"/>
            <w:gridSpan w:val="3"/>
            <w:tcBorders>
              <w:top w:val="single" w:color="auto" w:sz="4" w:space="0"/>
              <w:left w:val="single" w:color="auto" w:sz="4" w:space="0"/>
              <w:bottom w:val="single" w:color="auto" w:sz="4" w:space="0"/>
              <w:right w:val="single" w:color="auto" w:sz="4" w:space="0"/>
            </w:tcBorders>
            <w:vAlign w:val="top"/>
          </w:tcPr>
          <w:p>
            <w:pPr>
              <w:adjustRightInd w:val="0"/>
              <w:spacing w:line="560" w:lineRule="exact"/>
              <w:rPr>
                <w:rFonts w:ascii="仿宋_GB2312" w:hAnsi="Calibri" w:eastAsia="仿宋_GB2312"/>
                <w:sz w:val="28"/>
                <w:szCs w:val="28"/>
              </w:rPr>
            </w:pPr>
            <w:r>
              <w:rPr>
                <w:rFonts w:hint="eastAsia" w:ascii="仿宋_GB2312" w:eastAsia="仿宋_GB2312"/>
                <w:sz w:val="24"/>
                <w:szCs w:val="28"/>
              </w:rPr>
              <w:t>备注：根据实际工作需要，可适当调整标准项目</w:t>
            </w:r>
          </w:p>
        </w:tc>
      </w:tr>
    </w:tbl>
    <w:p>
      <w:pPr>
        <w:adjustRightInd w:val="0"/>
        <w:spacing w:line="560" w:lineRule="exact"/>
        <w:ind w:firstLine="640" w:firstLineChars="200"/>
        <w:outlineLvl w:val="1"/>
        <w:rPr>
          <w:rFonts w:hint="eastAsia" w:ascii="楷体_GB2312" w:hAnsi="Calibri" w:eastAsia="楷体_GB2312"/>
          <w:sz w:val="32"/>
          <w:szCs w:val="32"/>
        </w:rPr>
      </w:pPr>
      <w:bookmarkStart w:id="49" w:name="_Toc96958720"/>
      <w:bookmarkStart w:id="50" w:name="_Toc512651409"/>
      <w:r>
        <w:rPr>
          <w:rFonts w:hint="eastAsia" w:ascii="楷体_GB2312" w:eastAsia="楷体_GB2312"/>
          <w:sz w:val="32"/>
          <w:szCs w:val="32"/>
        </w:rPr>
        <w:t>（三）</w:t>
      </w:r>
      <w:bookmarkStart w:id="51" w:name="_Hlk82333852"/>
      <w:r>
        <w:rPr>
          <w:rFonts w:hint="eastAsia" w:ascii="楷体_GB2312" w:eastAsia="楷体_GB2312"/>
          <w:sz w:val="32"/>
          <w:szCs w:val="32"/>
        </w:rPr>
        <w:t>不断夯实标准效果追踪</w:t>
      </w:r>
      <w:bookmarkEnd w:id="49"/>
      <w:bookmarkEnd w:id="50"/>
    </w:p>
    <w:bookmarkEnd w:id="51"/>
    <w:p>
      <w:pPr>
        <w:adjustRightInd w:val="0"/>
        <w:spacing w:line="56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rPr>
        <w:t>标准发布实施后，更加注重标准落实情况和实施效果，以及对标准先进性、适用性的追踪管理，适时开展标准评估和复审工作，提升标准体系科学有效性。</w:t>
      </w:r>
    </w:p>
    <w:p>
      <w:pPr>
        <w:adjustRightInd w:val="0"/>
        <w:spacing w:line="560" w:lineRule="exact"/>
        <w:ind w:firstLine="640" w:firstLineChars="200"/>
        <w:rPr>
          <w:rFonts w:hint="eastAsia" w:ascii="仿宋_GB2312" w:eastAsia="仿宋_GB2312" w:cs="仿宋_GB2312"/>
          <w:b/>
          <w:bCs/>
          <w:szCs w:val="22"/>
        </w:rPr>
      </w:pPr>
      <w:r>
        <w:rPr>
          <w:rFonts w:hint="eastAsia" w:ascii="仿宋_GB2312" w:eastAsia="仿宋_GB2312" w:cs="仿宋_GB2312"/>
          <w:sz w:val="32"/>
          <w:szCs w:val="32"/>
        </w:rPr>
        <w:t>1.定期开展标准实施评估</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对发布实施满1年的地方标准，开展标准实施情况评估，重点评估标准实施后各项污染物减排的环境效益和对群众生活质量改善的社会效益，评估标准实施所投入的经费情况，评估企业达标执行情况，根据标准所进行的监督检查实施效果，为标准落实和标准制修订提供决策依据。</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2.及时开展标准复审</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关注国家标准、行业标准和其他领域的地方标准的制定发布情况，对比标准中的排放限值和其他管理要求，及时提出复审建议，提高标准复审的及时性和有效性；对发布实施满5年的标准定期开展标准复审工作，结合相关法律法规变化情况、国家政策调整情况、科学技术发展和环境管理需求变化情况等，审查标准的适用性、有效性，提出标准继续有效、修订或废止的复审结论建议。</w:t>
      </w:r>
    </w:p>
    <w:p>
      <w:pPr>
        <w:pStyle w:val="3"/>
        <w:adjustRightInd/>
        <w:spacing w:before="0" w:after="0" w:line="560" w:lineRule="exact"/>
        <w:ind w:firstLine="640" w:firstLineChars="200"/>
        <w:rPr>
          <w:rFonts w:hint="eastAsia" w:eastAsia="楷体_GB2312"/>
          <w:b w:val="0"/>
        </w:rPr>
      </w:pPr>
      <w:bookmarkStart w:id="52" w:name="_Toc419214752"/>
      <w:bookmarkStart w:id="53" w:name="_Toc485391702"/>
      <w:bookmarkStart w:id="54" w:name="_Toc792986768"/>
      <w:r>
        <w:rPr>
          <w:rFonts w:hint="eastAsia" w:eastAsia="楷体_GB2312"/>
          <w:b w:val="0"/>
        </w:rPr>
        <w:t>（四）</w:t>
      </w:r>
      <w:bookmarkEnd w:id="52"/>
      <w:bookmarkEnd w:id="53"/>
      <w:r>
        <w:rPr>
          <w:rFonts w:hint="eastAsia" w:eastAsia="楷体_GB2312"/>
          <w:b w:val="0"/>
        </w:rPr>
        <w:t>持续提高标准制修订水平</w:t>
      </w:r>
      <w:bookmarkEnd w:id="54"/>
    </w:p>
    <w:p>
      <w:pPr>
        <w:adjustRightInd w:val="0"/>
        <w:spacing w:line="560" w:lineRule="exact"/>
        <w:ind w:firstLine="640" w:firstLineChars="200"/>
        <w:rPr>
          <w:rFonts w:hint="eastAsia" w:ascii="仿宋_GB2312" w:eastAsia="仿宋_GB2312" w:cs="楷体_GB2312"/>
          <w:bCs/>
          <w:sz w:val="32"/>
          <w:szCs w:val="32"/>
        </w:rPr>
      </w:pPr>
      <w:r>
        <w:rPr>
          <w:rFonts w:hint="eastAsia" w:ascii="仿宋_GB2312" w:eastAsia="仿宋_GB2312" w:cs="楷体_GB2312"/>
          <w:bCs/>
          <w:sz w:val="32"/>
          <w:szCs w:val="32"/>
        </w:rPr>
        <w:t>以严谨的制度规范标准制修订各项工作流程，保证标准编制路线正确、流程规范、内容科学，为标准制修订工作顺利开展提供制度保障。</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1.严格执行分类管理制度</w:t>
      </w:r>
    </w:p>
    <w:p>
      <w:pPr>
        <w:adjustRightInd w:val="0"/>
        <w:spacing w:line="560" w:lineRule="exact"/>
        <w:ind w:firstLine="640" w:firstLineChars="200"/>
        <w:rPr>
          <w:rFonts w:hint="eastAsia" w:ascii="仿宋_GB2312" w:eastAsia="仿宋_GB2312" w:cs="楷体_GB2312"/>
          <w:bCs/>
          <w:sz w:val="32"/>
          <w:szCs w:val="32"/>
        </w:rPr>
      </w:pPr>
      <w:r>
        <w:rPr>
          <w:rFonts w:hint="eastAsia" w:ascii="仿宋_GB2312" w:eastAsia="仿宋_GB2312" w:cs="楷体_GB2312"/>
          <w:bCs/>
          <w:sz w:val="32"/>
          <w:szCs w:val="32"/>
        </w:rPr>
        <w:t>严把标准立项关，对研究基础较高且符合申报要求的及时申报一类项目；对研究基础尚不充分的，设立标准项目储备库，适时申报二类研究项目，避免因研究不充分影响标准编制进度和编制质量。</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2.完善标准全过程责任体系</w:t>
      </w:r>
    </w:p>
    <w:p>
      <w:pPr>
        <w:adjustRightInd w:val="0"/>
        <w:spacing w:line="560" w:lineRule="exact"/>
        <w:ind w:firstLine="640" w:firstLineChars="200"/>
        <w:rPr>
          <w:rFonts w:hint="eastAsia" w:ascii="仿宋_GB2312" w:eastAsia="仿宋_GB2312" w:cs="楷体_GB2312"/>
          <w:bCs/>
          <w:sz w:val="32"/>
          <w:szCs w:val="32"/>
        </w:rPr>
      </w:pPr>
      <w:r>
        <w:rPr>
          <w:rFonts w:hint="eastAsia" w:ascii="仿宋_GB2312" w:eastAsia="仿宋_GB2312" w:cs="楷体_GB2312"/>
          <w:bCs/>
          <w:sz w:val="32"/>
          <w:szCs w:val="32"/>
        </w:rPr>
        <w:t>严格落实《北京市地方标准管理办法》，进一步完善生态环境标准制修订过程中的责任，按照谁提出谁论证、谁立项谁归口、谁归口谁负责的原则，突出地方标准服务政府管理职责的公益类属性，确保标准紧密贴合管理需求，在生态环境质量改善方面发挥应有的技术支撑作用。</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3.进一步规范制修订流程</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cs="仿宋_GB2312"/>
          <w:kern w:val="0"/>
          <w:sz w:val="32"/>
          <w:szCs w:val="32"/>
        </w:rPr>
        <w:t>结合标准体系的发展和标准制修订工作的变化，修订北京市地方生态环境标准管理规定，进一步规范生态环境标准制修订流程和相关标准化工作要求，包括标准立项、公开征求意见、审查、报批、发布、废止、评估和复审等，确保标准编制质量。</w:t>
      </w:r>
    </w:p>
    <w:p>
      <w:pPr>
        <w:adjustRightInd w:val="0"/>
        <w:spacing w:line="560" w:lineRule="exact"/>
        <w:ind w:firstLine="640" w:firstLineChars="200"/>
        <w:outlineLvl w:val="1"/>
        <w:rPr>
          <w:rFonts w:hint="eastAsia" w:ascii="楷体_GB2312" w:eastAsia="楷体_GB2312"/>
          <w:sz w:val="32"/>
          <w:szCs w:val="32"/>
        </w:rPr>
      </w:pPr>
      <w:bookmarkStart w:id="55" w:name="_Toc899618018"/>
      <w:bookmarkStart w:id="56" w:name="_Toc96958721"/>
      <w:r>
        <w:rPr>
          <w:rFonts w:hint="eastAsia" w:ascii="楷体_GB2312" w:eastAsia="楷体_GB2312"/>
          <w:sz w:val="32"/>
          <w:szCs w:val="32"/>
        </w:rPr>
        <w:t>（五）加强生态环境标准宣传贯彻</w:t>
      </w:r>
      <w:bookmarkEnd w:id="55"/>
      <w:bookmarkEnd w:id="56"/>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落实普法责任制，切实加强标准宣传。对标准应用部门进行标准宣贯，阐明标准内容和应用场景；对公众和企业进行宣传，扩大标准的影响范围；坚持“谁执法，谁普法”的原则，将标准与法律结合共同开展宣传。</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1.加强生态环境标准贯彻实施业务培训</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以讲授培训、现场培训为主要方法，加强有关国家排放标准、地方排放标准及相关配套的环境监测规范、技术规范的贯彻实施业务培训，提高市区两级生态环境保护主管部门、有关行业主管部门、企事业单位对生态环境标准的监督管理、组织实施、落实执行能力和水平。</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2.广泛开展生态环境标准宣传</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为方便公众获取标准相关信息，所有地方生态环境标准文本在市生态环境局网站上全文公布，并链接国家生态环境标准文本。充分利用报纸期刊等平面媒体、网站微信等新媒体的传播渠道，加强标准的适用相关方、公众宣传工作。加强地方排放标准解读，鼓励出版标准实施技术指南等环保标准类书籍，支持社会机构开展生态环境标准公众宣传科学普及。</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3.执法检查中进行针对性宣传</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cs="仿宋_GB2312"/>
          <w:kern w:val="0"/>
          <w:sz w:val="32"/>
          <w:szCs w:val="32"/>
        </w:rPr>
        <w:t>落实“谁执法，谁普法”责任制，将标准与法律相结合，在标准的执法和检查过程中开展标准宣贯，对企业达标工作开展指导，提升标准宣传效果。鼓励开展生态环境标准化试点示范，推动企业提升标准执行能力。</w:t>
      </w:r>
    </w:p>
    <w:p>
      <w:pPr>
        <w:adjustRightInd w:val="0"/>
        <w:spacing w:line="560" w:lineRule="exact"/>
        <w:ind w:firstLine="640" w:firstLineChars="200"/>
        <w:outlineLvl w:val="1"/>
        <w:rPr>
          <w:rFonts w:hint="eastAsia" w:ascii="楷体_GB2312" w:eastAsia="楷体_GB2312"/>
          <w:sz w:val="32"/>
          <w:szCs w:val="32"/>
        </w:rPr>
      </w:pPr>
      <w:bookmarkStart w:id="57" w:name="_Toc485391703"/>
      <w:bookmarkStart w:id="58" w:name="_Toc292463767"/>
      <w:bookmarkStart w:id="59" w:name="_Toc96958722"/>
      <w:r>
        <w:rPr>
          <w:rFonts w:hint="eastAsia" w:ascii="楷体_GB2312" w:eastAsia="楷体_GB2312"/>
          <w:sz w:val="32"/>
          <w:szCs w:val="32"/>
        </w:rPr>
        <w:t>（六）促进京津冀生态环境标准</w:t>
      </w:r>
      <w:bookmarkEnd w:id="57"/>
      <w:r>
        <w:rPr>
          <w:rFonts w:hint="eastAsia" w:ascii="楷体_GB2312" w:eastAsia="楷体_GB2312"/>
          <w:sz w:val="32"/>
          <w:szCs w:val="32"/>
        </w:rPr>
        <w:t>协同突破</w:t>
      </w:r>
      <w:bookmarkEnd w:id="58"/>
      <w:bookmarkEnd w:id="59"/>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落实京津冀协同发展国家战略，探索推进京津冀生态环境标准体系在重点区域、重点领域的协同，支撑京津冀生态环境联建联防联治。</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1.完善标准协同会商机制</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针对生态环境标准制修订工作，由标准化管理部门牵头，不定期召开标准交流会议，交流各自地方标准申报、制定以及发布情况，推进资料共享。鼓励相关领域业务部门开展业务层面交流分享，研究转化为区域地方标准的可行性。鼓励三地科研单位进行研究成果交流，从体系建立、管理需求、科研成果转化等多方面探索标准协同突破的重点领域和可行性。</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2.逐步实现京津冀标准体系一体化</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开展京津冀三地排放标准对比分析，结合现有国家标准，在京津冀三地现有生态环境标准分析结果基础上，吸取经验和亮点，以排放标准为体系的核心，在自然生态保护、应对气候变化等新领域，在技术规范类标准层次寻求突破，力争实现京津冀标准体系一体化。</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3.重点区域、重点领域实现突破</w:t>
      </w:r>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结合京津冀三地社会经济发展特点、产业分布、重点行业污染物排放情况以及现行环境治理措施，在各行业优先执行国家特别排放限值的基础上，聚焦通州、北三县等重点区域的协同发展要求，研究重点区域率先突破的路径和方式。同时在环境应急、生态调查、绿色低碳发展等重点领域，开展技术对接和标准化研究，力争实现标准统一新突破。</w:t>
      </w:r>
    </w:p>
    <w:p>
      <w:pPr>
        <w:adjustRightInd w:val="0"/>
        <w:spacing w:line="560" w:lineRule="exact"/>
        <w:ind w:firstLine="640" w:firstLineChars="200"/>
        <w:outlineLvl w:val="0"/>
        <w:rPr>
          <w:rFonts w:hint="eastAsia" w:ascii="黑体" w:hAnsi="黑体" w:eastAsia="黑体"/>
          <w:sz w:val="32"/>
          <w:szCs w:val="32"/>
        </w:rPr>
      </w:pPr>
      <w:bookmarkStart w:id="60" w:name="_Toc485391704"/>
      <w:bookmarkStart w:id="61" w:name="_Toc419214754"/>
      <w:bookmarkStart w:id="62" w:name="_Toc1412282977"/>
      <w:bookmarkStart w:id="63" w:name="_Toc96958723"/>
      <w:r>
        <w:rPr>
          <w:rFonts w:hint="eastAsia" w:ascii="黑体" w:hAnsi="黑体" w:eastAsia="黑体"/>
          <w:sz w:val="32"/>
          <w:szCs w:val="32"/>
        </w:rPr>
        <w:t>五、实施保障</w:t>
      </w:r>
      <w:bookmarkEnd w:id="60"/>
      <w:bookmarkEnd w:id="61"/>
      <w:bookmarkEnd w:id="62"/>
      <w:bookmarkEnd w:id="63"/>
    </w:p>
    <w:p>
      <w:pPr>
        <w:adjustRightInd w:val="0"/>
        <w:spacing w:line="560" w:lineRule="exact"/>
        <w:ind w:firstLine="640" w:firstLineChars="200"/>
        <w:rPr>
          <w:rFonts w:hint="eastAsia" w:ascii="仿宋_GB2312" w:hAnsi="Calibri" w:eastAsia="仿宋_GB2312" w:cs="仿宋_GB2312"/>
          <w:kern w:val="0"/>
          <w:sz w:val="32"/>
          <w:szCs w:val="32"/>
        </w:rPr>
      </w:pPr>
      <w:bookmarkStart w:id="64" w:name="_Toc192033547"/>
      <w:bookmarkStart w:id="65" w:name="_Toc192033546"/>
      <w:r>
        <w:rPr>
          <w:rFonts w:hint="eastAsia" w:ascii="仿宋_GB2312" w:eastAsia="仿宋_GB2312" w:cs="仿宋_GB2312"/>
          <w:kern w:val="0"/>
          <w:sz w:val="32"/>
          <w:szCs w:val="32"/>
        </w:rPr>
        <w:t>“十四五”时期，要把地方生态环境标准体系发展和建设工作摆到生态环境保护制度建设的重要高度，在加强组织领导、完善管理制度、加强能力建设、深化合作交流等方面做好安排，组织实施好本规划。</w:t>
      </w:r>
      <w:bookmarkStart w:id="66" w:name="_Toc216373935"/>
    </w:p>
    <w:p>
      <w:pPr>
        <w:adjustRightInd w:val="0"/>
        <w:spacing w:line="560" w:lineRule="exact"/>
        <w:ind w:firstLine="640" w:firstLineChars="200"/>
        <w:outlineLvl w:val="1"/>
        <w:rPr>
          <w:rFonts w:hint="eastAsia" w:ascii="楷体_GB2312" w:eastAsia="楷体_GB2312"/>
          <w:sz w:val="32"/>
          <w:szCs w:val="32"/>
        </w:rPr>
      </w:pPr>
      <w:bookmarkStart w:id="67" w:name="_Toc1213900809"/>
      <w:bookmarkStart w:id="68" w:name="_Toc96958724"/>
      <w:r>
        <w:rPr>
          <w:rFonts w:hint="eastAsia" w:ascii="楷体_GB2312" w:eastAsia="楷体_GB2312"/>
          <w:sz w:val="32"/>
          <w:szCs w:val="32"/>
        </w:rPr>
        <w:t>（一）加强组织领导</w:t>
      </w:r>
      <w:bookmarkEnd w:id="67"/>
      <w:bookmarkEnd w:id="68"/>
    </w:p>
    <w:p>
      <w:pPr>
        <w:adjustRightInd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建立生态环境标准化工作协调推进机制，对生态环境标准化工作定期调度，强化部门协同、上下联动。加强与生态环境部等相关部门的沟通交流，做好地方生态环境标准体系与国家生态环境标准体系的衔接与补充工作；加强对基层生态环境部门的指导，做好生态环境标准的应用和实践反馈。进一步完善京津冀区域标准协调会商机制，推进生态环境领域区域标准协同。</w:t>
      </w:r>
    </w:p>
    <w:p>
      <w:pPr>
        <w:adjustRightInd w:val="0"/>
        <w:spacing w:line="560" w:lineRule="exact"/>
        <w:ind w:firstLine="640" w:firstLineChars="200"/>
        <w:outlineLvl w:val="1"/>
        <w:rPr>
          <w:rFonts w:hint="eastAsia" w:ascii="楷体_GB2312" w:eastAsia="楷体_GB2312"/>
          <w:sz w:val="32"/>
          <w:szCs w:val="32"/>
        </w:rPr>
      </w:pPr>
      <w:bookmarkStart w:id="69" w:name="_Toc96958725"/>
      <w:bookmarkStart w:id="70" w:name="_Toc286908795"/>
      <w:bookmarkStart w:id="71" w:name="_Toc485391707"/>
      <w:bookmarkStart w:id="72" w:name="_Toc187224834"/>
      <w:r>
        <w:rPr>
          <w:rFonts w:hint="eastAsia" w:ascii="楷体_GB2312" w:eastAsia="楷体_GB2312"/>
          <w:sz w:val="32"/>
          <w:szCs w:val="32"/>
        </w:rPr>
        <w:t>（二）加强能力建设</w:t>
      </w:r>
      <w:bookmarkEnd w:id="69"/>
      <w:bookmarkEnd w:id="70"/>
      <w:bookmarkEnd w:id="71"/>
      <w:bookmarkEnd w:id="72"/>
    </w:p>
    <w:p>
      <w:pPr>
        <w:adjustRightInd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加强生态环境领域标准化人才培养和队伍建设，通过定期组织开展标准化理论和应用培训，提升科研人员标准化研究能力，鼓励科研人员将标准化与创新科研相结合，提高生态环境科研成果在标准化工作中的支撑作用。提升标准化技术支撑水平，开展欧盟、美国、日本等发达国家和国内先进生态环境标准调查研究，包括重点领域重点项目调查以及标准体系研究</w:t>
      </w:r>
      <w:bookmarkEnd w:id="64"/>
      <w:bookmarkEnd w:id="65"/>
      <w:bookmarkEnd w:id="66"/>
      <w:r>
        <w:rPr>
          <w:rFonts w:hint="eastAsia" w:ascii="仿宋_GB2312" w:eastAsia="仿宋_GB2312" w:cs="仿宋_GB2312"/>
          <w:sz w:val="32"/>
          <w:szCs w:val="32"/>
        </w:rPr>
        <w:t>，加强与其他领域专业标准化技术组织间的沟通学习，吸取国内外各领域先进标准化工作经验，提升标准研究和编制能力。</w:t>
      </w:r>
    </w:p>
    <w:p>
      <w:pPr>
        <w:adjustRightInd w:val="0"/>
        <w:spacing w:line="560" w:lineRule="exact"/>
        <w:ind w:firstLine="640" w:firstLineChars="200"/>
        <w:outlineLvl w:val="1"/>
        <w:rPr>
          <w:rFonts w:hint="eastAsia" w:ascii="楷体_GB2312" w:eastAsia="楷体_GB2312"/>
          <w:sz w:val="32"/>
          <w:szCs w:val="32"/>
        </w:rPr>
      </w:pPr>
      <w:bookmarkStart w:id="73" w:name="_Toc485391705"/>
      <w:bookmarkStart w:id="74" w:name="_Toc286908793"/>
      <w:bookmarkStart w:id="75" w:name="_Toc96958726"/>
      <w:bookmarkStart w:id="76" w:name="_Toc2015339088"/>
      <w:r>
        <w:rPr>
          <w:rFonts w:hint="eastAsia" w:ascii="楷体_GB2312" w:eastAsia="楷体_GB2312"/>
          <w:sz w:val="32"/>
          <w:szCs w:val="32"/>
        </w:rPr>
        <w:t>（三）</w:t>
      </w:r>
      <w:bookmarkEnd w:id="73"/>
      <w:bookmarkEnd w:id="74"/>
      <w:r>
        <w:rPr>
          <w:rFonts w:hint="eastAsia" w:ascii="楷体_GB2312" w:eastAsia="楷体_GB2312"/>
          <w:sz w:val="32"/>
          <w:szCs w:val="32"/>
        </w:rPr>
        <w:t>深化合作交流</w:t>
      </w:r>
      <w:bookmarkEnd w:id="75"/>
      <w:bookmarkEnd w:id="76"/>
    </w:p>
    <w:p>
      <w:pPr>
        <w:spacing w:line="560" w:lineRule="exact"/>
        <w:rPr>
          <w:rFonts w:hint="eastAsia" w:ascii="仿宋_GB2312" w:eastAsia="仿宋_GB2312" w:cs="仿宋_GB2312"/>
          <w:sz w:val="32"/>
          <w:szCs w:val="32"/>
        </w:rPr>
      </w:pPr>
      <w:r>
        <w:rPr>
          <w:rFonts w:hint="eastAsia" w:ascii="仿宋_GB2312" w:eastAsia="仿宋_GB2312" w:cs="仿宋_GB2312"/>
          <w:sz w:val="32"/>
          <w:szCs w:val="32"/>
        </w:rPr>
        <w:t xml:space="preserve">    积极与大城市和周边省市开展地方生态环境标准交流与合作，借鉴长三角、珠三角区域生态环境标准交流机制和制定路径经验，探索京津冀区域标准协同重点方向和重点项目。推进生态环境标准在科技、产业、能源、建筑、交通等领域的交流合作，促进生态环境保护中绿色元素融入科技创新、产业发展、能源节约、建筑设计和交通疏导等各领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B0A2A"/>
    <w:rsid w:val="3F2B0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5">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customStyle="1" w:styleId="8">
    <w:name w:val="TOC 标题1"/>
    <w:basedOn w:val="2"/>
    <w:next w:val="1"/>
    <w:semiHidden/>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9">
    <w:name w:val="列出段落1"/>
    <w:basedOn w:val="1"/>
    <w:qFormat/>
    <w:uiPriority w:val="0"/>
    <w:pPr>
      <w:ind w:firstLine="420" w:firstLineChars="200"/>
    </w:pPr>
    <w:rPr>
      <w:rFonts w:ascii="Calibri" w:hAnsi="Calibri" w:cs="Calibri"/>
      <w:szCs w:val="21"/>
    </w:rPr>
  </w:style>
  <w:style w:type="character" w:customStyle="1" w:styleId="10">
    <w:name w:val="规划正文2 Char Char"/>
    <w:link w:val="11"/>
    <w:qFormat/>
    <w:locked/>
    <w:uiPriority w:val="0"/>
    <w:rPr>
      <w:rFonts w:ascii="仿宋_GB2312" w:eastAsia="仿宋_GB2312"/>
      <w:b/>
      <w:kern w:val="0"/>
      <w:sz w:val="30"/>
      <w:szCs w:val="20"/>
    </w:rPr>
  </w:style>
  <w:style w:type="paragraph" w:customStyle="1" w:styleId="11">
    <w:name w:val="规划正文2"/>
    <w:basedOn w:val="1"/>
    <w:next w:val="1"/>
    <w:link w:val="10"/>
    <w:qFormat/>
    <w:uiPriority w:val="0"/>
    <w:pPr>
      <w:ind w:firstLine="600" w:firstLineChars="200"/>
    </w:pPr>
    <w:rPr>
      <w:rFonts w:ascii="仿宋_GB2312" w:eastAsia="仿宋_GB2312"/>
      <w:b/>
      <w:kern w:val="0"/>
      <w:sz w:val="30"/>
      <w:szCs w:val="20"/>
    </w:rPr>
  </w:style>
  <w:style w:type="paragraph" w:customStyle="1" w:styleId="12">
    <w:name w:val="样式 规划正文 + 自动设置"/>
    <w:basedOn w:val="1"/>
    <w:qFormat/>
    <w:uiPriority w:val="0"/>
    <w:pPr>
      <w:ind w:firstLine="600" w:firstLineChars="200"/>
    </w:pPr>
    <w:rPr>
      <w:rFonts w:ascii="仿宋_GB2312" w:eastAsia="仿宋_GB2312"/>
      <w:color w:val="000000"/>
      <w:kern w:val="0"/>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2022-04-07T00:40:00Z</dcterms:created>
  <dc:creator>赵旭</dc:creator>
  <cp:lastModifiedBy>赵旭</cp:lastModifiedBy>
  <dcterms:modified xsi:type="dcterms:W3CDTF">2022-04-07T00:42:14Z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