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sz w:val="32"/>
          <w:szCs w:val="32"/>
          <w:highlight w:val="none"/>
        </w:rPr>
      </w:pPr>
      <w:bookmarkStart w:id="0" w:name="_GoBack"/>
      <w:r>
        <w:rPr>
          <w:rFonts w:hint="eastAsia" w:ascii="黑体" w:hAnsi="黑体" w:eastAsia="黑体" w:cs="黑体"/>
          <w:sz w:val="32"/>
          <w:szCs w:val="32"/>
          <w:highlight w:val="none"/>
        </w:rPr>
        <w:t>附件1</w:t>
      </w:r>
    </w:p>
    <w:p>
      <w:pPr>
        <w:keepNext w:val="0"/>
        <w:keepLines w:val="0"/>
        <w:pageBreakBefore w:val="0"/>
        <w:widowControl/>
        <w:kinsoku/>
        <w:wordWrap/>
        <w:overflowPunct/>
        <w:topLinePunct w:val="0"/>
        <w:autoSpaceDE/>
        <w:autoSpaceDN/>
        <w:bidi w:val="0"/>
        <w:adjustRightInd/>
        <w:snapToGrid/>
        <w:spacing w:before="287" w:beforeLines="100"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t>北京市生态环境行政检查裁量权基准表</w:t>
      </w:r>
    </w:p>
    <w:p>
      <w:pPr>
        <w:widowControl/>
        <w:spacing w:line="560" w:lineRule="exact"/>
        <w:jc w:val="center"/>
        <w:rPr>
          <w:rFonts w:hint="eastAsia" w:ascii="方正小标宋简体" w:eastAsia="方正小标宋简体" w:cs="宋体"/>
          <w:sz w:val="44"/>
          <w:szCs w:val="44"/>
          <w:highlight w:val="none"/>
        </w:rPr>
      </w:pPr>
    </w:p>
    <w:tbl>
      <w:tblPr>
        <w:tblStyle w:val="6"/>
        <w:tblW w:w="14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680"/>
        <w:gridCol w:w="2561"/>
        <w:gridCol w:w="1397"/>
        <w:gridCol w:w="3469"/>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blHeader/>
        </w:trPr>
        <w:tc>
          <w:tcPr>
            <w:tcW w:w="789" w:type="dxa"/>
            <w:vAlign w:val="center"/>
          </w:tcPr>
          <w:p>
            <w:pPr>
              <w:widowControl/>
              <w:jc w:val="center"/>
              <w:rPr>
                <w:rFonts w:hint="eastAsia" w:ascii="黑体" w:hAnsi="宋体" w:eastAsia="黑体"/>
                <w:sz w:val="28"/>
                <w:szCs w:val="28"/>
                <w:highlight w:val="none"/>
              </w:rPr>
            </w:pPr>
            <w:r>
              <w:rPr>
                <w:rFonts w:hint="eastAsia" w:ascii="黑体" w:hAnsi="宋体" w:eastAsia="黑体"/>
                <w:sz w:val="28"/>
                <w:szCs w:val="28"/>
                <w:highlight w:val="none"/>
              </w:rPr>
              <w:t>序号</w:t>
            </w:r>
          </w:p>
        </w:tc>
        <w:tc>
          <w:tcPr>
            <w:tcW w:w="2680" w:type="dxa"/>
            <w:vAlign w:val="center"/>
          </w:tcPr>
          <w:p>
            <w:pPr>
              <w:widowControl/>
              <w:jc w:val="center"/>
              <w:rPr>
                <w:rFonts w:hint="eastAsia" w:ascii="黑体" w:hAnsi="黑体" w:eastAsia="黑体" w:cs="宋体"/>
                <w:sz w:val="28"/>
                <w:szCs w:val="28"/>
                <w:highlight w:val="none"/>
              </w:rPr>
            </w:pPr>
            <w:r>
              <w:rPr>
                <w:rFonts w:hint="eastAsia" w:ascii="黑体" w:hAnsi="宋体" w:eastAsia="黑体"/>
                <w:sz w:val="28"/>
                <w:szCs w:val="28"/>
                <w:highlight w:val="none"/>
              </w:rPr>
              <w:t>检查内容</w:t>
            </w:r>
          </w:p>
        </w:tc>
        <w:tc>
          <w:tcPr>
            <w:tcW w:w="2561" w:type="dxa"/>
            <w:vAlign w:val="center"/>
          </w:tcPr>
          <w:p>
            <w:pPr>
              <w:widowControl/>
              <w:jc w:val="center"/>
              <w:rPr>
                <w:rFonts w:ascii="黑体" w:hAnsi="宋体" w:eastAsia="黑体"/>
                <w:sz w:val="28"/>
                <w:szCs w:val="28"/>
                <w:highlight w:val="none"/>
              </w:rPr>
            </w:pPr>
            <w:r>
              <w:rPr>
                <w:rFonts w:hint="eastAsia" w:ascii="黑体" w:hAnsi="宋体" w:eastAsia="黑体"/>
                <w:sz w:val="28"/>
                <w:szCs w:val="28"/>
                <w:highlight w:val="none"/>
              </w:rPr>
              <w:t>检查对象</w:t>
            </w:r>
          </w:p>
        </w:tc>
        <w:tc>
          <w:tcPr>
            <w:tcW w:w="1397" w:type="dxa"/>
            <w:vAlign w:val="center"/>
          </w:tcPr>
          <w:p>
            <w:pPr>
              <w:widowControl/>
              <w:jc w:val="center"/>
              <w:rPr>
                <w:rFonts w:hint="eastAsia" w:ascii="黑体" w:hAnsi="宋体" w:eastAsia="黑体"/>
                <w:sz w:val="28"/>
                <w:szCs w:val="28"/>
                <w:highlight w:val="none"/>
              </w:rPr>
            </w:pPr>
            <w:r>
              <w:rPr>
                <w:rFonts w:hint="eastAsia" w:ascii="黑体" w:hAnsi="宋体" w:eastAsia="黑体"/>
                <w:sz w:val="28"/>
                <w:szCs w:val="28"/>
                <w:highlight w:val="none"/>
              </w:rPr>
              <w:t>检查方式</w:t>
            </w:r>
          </w:p>
        </w:tc>
        <w:tc>
          <w:tcPr>
            <w:tcW w:w="3469" w:type="dxa"/>
            <w:vAlign w:val="center"/>
          </w:tcPr>
          <w:p>
            <w:pPr>
              <w:widowControl/>
              <w:jc w:val="center"/>
              <w:rPr>
                <w:rFonts w:hint="eastAsia" w:ascii="黑体" w:hAnsi="宋体" w:eastAsia="黑体"/>
                <w:sz w:val="28"/>
                <w:szCs w:val="28"/>
                <w:highlight w:val="none"/>
              </w:rPr>
            </w:pPr>
            <w:r>
              <w:rPr>
                <w:rFonts w:hint="eastAsia" w:ascii="黑体" w:hAnsi="宋体" w:eastAsia="黑体"/>
                <w:sz w:val="28"/>
                <w:szCs w:val="28"/>
                <w:highlight w:val="none"/>
              </w:rPr>
              <w:t>检查标准</w:t>
            </w:r>
          </w:p>
        </w:tc>
        <w:tc>
          <w:tcPr>
            <w:tcW w:w="3366" w:type="dxa"/>
            <w:vAlign w:val="center"/>
          </w:tcPr>
          <w:p>
            <w:pPr>
              <w:widowControl/>
              <w:jc w:val="center"/>
              <w:rPr>
                <w:rFonts w:ascii="黑体" w:hAnsi="宋体" w:eastAsia="黑体"/>
                <w:sz w:val="28"/>
                <w:szCs w:val="28"/>
                <w:highlight w:val="none"/>
              </w:rPr>
            </w:pPr>
            <w:r>
              <w:rPr>
                <w:rFonts w:hint="eastAsia" w:ascii="黑体" w:hAnsi="宋体" w:eastAsia="黑体"/>
                <w:sz w:val="28"/>
                <w:szCs w:val="28"/>
                <w:highlight w:val="none"/>
              </w:rPr>
              <w:t>检查频次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2" w:hRule="atLeast"/>
        </w:trPr>
        <w:tc>
          <w:tcPr>
            <w:tcW w:w="789"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1</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对新生产、销售机动车和非道路移动机械大气污染物排放状况进行监督检查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涉及新生产、销售机动车和非道路移动机械的企业事业单位和其他生产经营者</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依据《中华人民共和国大气污染防治法》《北京市大气污染防治条例》《北京市机动车和非道路移动机械排放污染防治条例》等规定，对不符合相关法律法规要求的行为予以查处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按年确定检查计划并开展</w:t>
            </w:r>
            <w:r>
              <w:rPr>
                <w:rFonts w:hint="eastAsia" w:ascii="仿宋_GB2312" w:hAnsi="宋体" w:eastAsia="仿宋_GB2312"/>
                <w:sz w:val="28"/>
                <w:szCs w:val="28"/>
                <w:highlight w:val="none"/>
              </w:rPr>
              <w:t>随机</w:t>
            </w:r>
            <w:r>
              <w:rPr>
                <w:rFonts w:hint="eastAsia" w:ascii="仿宋_GB2312" w:hAnsi="宋体" w:eastAsia="仿宋_GB2312"/>
                <w:color w:val="000000"/>
                <w:sz w:val="28"/>
                <w:szCs w:val="28"/>
                <w:highlight w:val="none"/>
              </w:rPr>
              <w:t>检查；信访举报、其他部门移交等情形除外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3" w:hRule="atLeast"/>
        </w:trPr>
        <w:tc>
          <w:tcPr>
            <w:tcW w:w="789"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2</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对道路上行驶的机动车进行遥感监测的检查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道路上行驶的机动车</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非现场检查</w:t>
            </w:r>
          </w:p>
        </w:tc>
        <w:tc>
          <w:tcPr>
            <w:tcW w:w="3469" w:type="dxa"/>
            <w:vAlign w:val="center"/>
          </w:tcPr>
          <w:p>
            <w:pPr>
              <w:spacing w:line="400" w:lineRule="exact"/>
              <w:rPr>
                <w:rFonts w:hint="eastAsia" w:ascii="仿宋_GB2312" w:hAnsi="宋体" w:eastAsia="仿宋_GB2312"/>
                <w:sz w:val="28"/>
                <w:szCs w:val="28"/>
                <w:highlight w:val="none"/>
              </w:rPr>
            </w:pPr>
            <w:r>
              <w:rPr>
                <w:rFonts w:ascii="仿宋_GB2312" w:hAnsi="宋体" w:eastAsia="仿宋_GB2312"/>
                <w:sz w:val="28"/>
                <w:szCs w:val="28"/>
                <w:highlight w:val="none"/>
              </w:rPr>
              <w:t>依据《中华人民共和国大气污染防治法》《北京</w:t>
            </w:r>
            <w:r>
              <w:rPr>
                <w:rFonts w:hint="eastAsia" w:ascii="仿宋_GB2312" w:hAnsi="宋体" w:eastAsia="仿宋_GB2312"/>
                <w:sz w:val="28"/>
                <w:szCs w:val="28"/>
                <w:highlight w:val="none"/>
              </w:rPr>
              <w:t>市</w:t>
            </w:r>
            <w:r>
              <w:rPr>
                <w:rFonts w:ascii="仿宋_GB2312" w:hAnsi="宋体" w:eastAsia="仿宋_GB2312"/>
                <w:sz w:val="28"/>
                <w:szCs w:val="28"/>
                <w:highlight w:val="none"/>
              </w:rPr>
              <w:t>机动车和非道路移动机械排放污染防治条例》等规定，对不符合相关法律法规要求的行为移交公安机关交通管理部门查处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通过遥感监测及黑烟抓拍实时监测检查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4" w:hRule="atLeast"/>
        </w:trPr>
        <w:tc>
          <w:tcPr>
            <w:tcW w:w="789"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3</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对排放污染物的企业事业单位和其他生产经营者的行政检查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排放污染物的企业事业单位和其他生产经营者</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、非现场检查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依据《中华人民共和国环境保护法》等一系列涉及生态环境保护的法律、法规及规章的规定，对不符合相关法律法规要求的行为予以查处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按年确定检查计划并开展随机检查；信访举报、其他部门移交、热点网格报警、在线监控异常、“点穴式”执法检查、空气重污染应急等情形除外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0" w:hRule="atLeast"/>
        </w:trPr>
        <w:tc>
          <w:tcPr>
            <w:tcW w:w="789"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4</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对危险废物经营单位报告危险废物经营活动情况的检查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危险废物经营单位</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依据《危险废物经营许可证管理办法》等规定，对不符合相关法律法规要求的行为予以查处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Style w:val="7"/>
                <w:rFonts w:hint="default" w:ascii="仿宋_GB2312" w:eastAsia="仿宋_GB2312"/>
                <w:sz w:val="28"/>
                <w:szCs w:val="28"/>
                <w:highlight w:val="none"/>
              </w:rPr>
              <w:t>全年原则上至少开展一次现场</w:t>
            </w:r>
            <w:r>
              <w:rPr>
                <w:rFonts w:hint="eastAsia" w:ascii="仿宋_GB2312" w:hAnsi="宋体" w:eastAsia="仿宋_GB2312"/>
                <w:color w:val="000000"/>
                <w:sz w:val="28"/>
                <w:szCs w:val="28"/>
                <w:highlight w:val="none"/>
              </w:rPr>
              <w:t>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9"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5</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对有毒化学品进口企业的行政检查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有毒化学品进口企业</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依据《化学品首次进口及有毒化学品进出口环境管理规定》等规定，对不符合相关法律法规要求的行为予以查处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Style w:val="7"/>
                <w:rFonts w:hint="default" w:ascii="仿宋_GB2312" w:eastAsia="仿宋_GB2312"/>
                <w:sz w:val="28"/>
                <w:szCs w:val="28"/>
                <w:highlight w:val="none"/>
              </w:rPr>
              <w:t>对</w:t>
            </w:r>
            <w:r>
              <w:rPr>
                <w:rStyle w:val="7"/>
                <w:rFonts w:hint="default" w:ascii="仿宋_GB2312" w:eastAsia="仿宋_GB2312"/>
                <w:color w:val="auto"/>
                <w:sz w:val="28"/>
                <w:szCs w:val="28"/>
                <w:highlight w:val="none"/>
              </w:rPr>
              <w:t>发现</w:t>
            </w:r>
            <w:r>
              <w:rPr>
                <w:rStyle w:val="7"/>
                <w:rFonts w:hint="default" w:ascii="仿宋_GB2312" w:eastAsia="仿宋_GB2312"/>
                <w:sz w:val="28"/>
                <w:szCs w:val="28"/>
                <w:highlight w:val="none"/>
              </w:rPr>
              <w:t>化学品首次进口及有毒化学品进出口的情形进行检查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8" w:hRule="atLeast"/>
        </w:trPr>
        <w:tc>
          <w:tcPr>
            <w:tcW w:w="789"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6</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对消耗臭氧层物质的销售单位的行政检查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消耗臭氧层物质的销售单位</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依据《消耗臭氧层物质管理条例》等规定，对不符合相关法律法规要求的行为予以查处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按年确定检查计划并开展</w:t>
            </w:r>
            <w:r>
              <w:rPr>
                <w:rFonts w:hint="eastAsia" w:ascii="仿宋_GB2312" w:hAnsi="宋体" w:eastAsia="仿宋_GB2312"/>
                <w:sz w:val="28"/>
                <w:szCs w:val="28"/>
                <w:highlight w:val="none"/>
              </w:rPr>
              <w:t>随机</w:t>
            </w:r>
            <w:r>
              <w:rPr>
                <w:rFonts w:hint="eastAsia" w:ascii="仿宋_GB2312" w:hAnsi="宋体" w:eastAsia="仿宋_GB2312"/>
                <w:color w:val="000000"/>
                <w:sz w:val="28"/>
                <w:szCs w:val="28"/>
                <w:highlight w:val="none"/>
              </w:rPr>
              <w:t>检查；信访举报、其他部门移交等情形除外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6" w:hRule="atLeast"/>
        </w:trPr>
        <w:tc>
          <w:tcPr>
            <w:tcW w:w="789"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7</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对含消耗臭氧层物质的制冷设备、制冷系统或者灭火系统的维修、报废处理，消耗臭氧层物质回收、再生利用或者销毁等经营活动的单位的行政检查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含消耗臭氧层物质的制冷设备、制冷系统或者灭火系统的维修、报废处理，消耗臭氧层物质回收、再生利用或者销毁等经营活动的企业事业单位和其他生产经营者</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依据《消耗臭氧层物质管理条例》等规定，对不符合相关法律法规要求的行为予以查处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按年确定检查计划并开展</w:t>
            </w:r>
            <w:r>
              <w:rPr>
                <w:rFonts w:hint="eastAsia" w:ascii="仿宋_GB2312" w:hAnsi="宋体" w:eastAsia="仿宋_GB2312"/>
                <w:sz w:val="28"/>
                <w:szCs w:val="28"/>
                <w:highlight w:val="none"/>
              </w:rPr>
              <w:t>随机</w:t>
            </w:r>
            <w:r>
              <w:rPr>
                <w:rFonts w:hint="eastAsia" w:ascii="仿宋_GB2312" w:hAnsi="宋体" w:eastAsia="仿宋_GB2312"/>
                <w:color w:val="000000"/>
                <w:sz w:val="28"/>
                <w:szCs w:val="28"/>
                <w:highlight w:val="none"/>
              </w:rPr>
              <w:t>检查；信访举报、其他部门移交等情形除外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3" w:hRule="atLeast"/>
        </w:trPr>
        <w:tc>
          <w:tcPr>
            <w:tcW w:w="789" w:type="dxa"/>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8</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对消耗臭氧层物质的年度生产、使用、进出口配额许可的行政检查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涉及消耗臭氧层物质的年度生产、使用、进出口配额许可企业事业单位和其他生产经营者</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依据《消耗臭氧层物质管理条例》等规定，对不符合相关法律法规要求的行为予以查处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按年确定检查计划并开展</w:t>
            </w:r>
            <w:r>
              <w:rPr>
                <w:rFonts w:hint="eastAsia" w:ascii="仿宋_GB2312" w:hAnsi="宋体" w:eastAsia="仿宋_GB2312"/>
                <w:sz w:val="28"/>
                <w:szCs w:val="28"/>
                <w:highlight w:val="none"/>
              </w:rPr>
              <w:t>随机</w:t>
            </w:r>
            <w:r>
              <w:rPr>
                <w:rFonts w:hint="eastAsia" w:ascii="仿宋_GB2312" w:hAnsi="宋体" w:eastAsia="仿宋_GB2312"/>
                <w:color w:val="000000"/>
                <w:sz w:val="28"/>
                <w:szCs w:val="28"/>
                <w:highlight w:val="none"/>
              </w:rPr>
              <w:t>检查；信访举报、其他部门移交等情形除外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8" w:hRule="atLeast"/>
        </w:trPr>
        <w:tc>
          <w:tcPr>
            <w:tcW w:w="789"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9</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对核技术利用放射性污染防治的行政检查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涉及核技术利用的企业事业单位和其他生产经营者</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p>
            <w:pPr>
              <w:spacing w:line="400" w:lineRule="exact"/>
              <w:jc w:val="center"/>
              <w:rPr>
                <w:rFonts w:hint="eastAsia" w:ascii="仿宋_GB2312" w:hAnsi="宋体" w:eastAsia="仿宋_GB2312"/>
                <w:sz w:val="28"/>
                <w:szCs w:val="28"/>
                <w:highlight w:val="none"/>
              </w:rPr>
            </w:pP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依据《中华人民共和国环境保护法》《中华人民共和国环境影响评价法》《中华人民共和国放射性污染防治法》等规定，对不符合相关法律法规要求的行为予以查处</w:t>
            </w:r>
          </w:p>
        </w:tc>
        <w:tc>
          <w:tcPr>
            <w:tcW w:w="3366" w:type="dxa"/>
            <w:vAlign w:val="center"/>
          </w:tcPr>
          <w:p>
            <w:pPr>
              <w:tabs>
                <w:tab w:val="left" w:pos="312"/>
              </w:tabs>
              <w:spacing w:line="400" w:lineRule="exact"/>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放射性同位素生产、使用、销售单位</w:t>
            </w:r>
            <w:r>
              <w:rPr>
                <w:rFonts w:hint="eastAsia" w:ascii="仿宋_GB2312" w:eastAsia="仿宋_GB2312"/>
                <w:color w:val="000000"/>
                <w:sz w:val="28"/>
                <w:szCs w:val="28"/>
                <w:highlight w:val="none"/>
              </w:rPr>
              <w:t>全年原则上至少开展一次现场</w:t>
            </w:r>
            <w:r>
              <w:rPr>
                <w:rFonts w:hint="eastAsia" w:ascii="仿宋_GB2312" w:hAnsi="宋体" w:eastAsia="仿宋_GB2312"/>
                <w:color w:val="000000"/>
                <w:sz w:val="28"/>
                <w:szCs w:val="28"/>
                <w:highlight w:val="none"/>
              </w:rPr>
              <w:t>检查；射线装置生产、使用、销售单位每</w:t>
            </w:r>
            <w:r>
              <w:rPr>
                <w:rFonts w:hint="eastAsia" w:ascii="仿宋_GB2312" w:eastAsia="仿宋_GB2312"/>
                <w:color w:val="000000"/>
                <w:sz w:val="28"/>
                <w:szCs w:val="28"/>
                <w:highlight w:val="none"/>
              </w:rPr>
              <w:t>五年至少开展一次现场</w:t>
            </w:r>
            <w:r>
              <w:rPr>
                <w:rFonts w:hint="eastAsia" w:ascii="仿宋_GB2312" w:hAnsi="宋体" w:eastAsia="仿宋_GB2312"/>
                <w:color w:val="000000"/>
                <w:sz w:val="28"/>
                <w:szCs w:val="28"/>
                <w:highlight w:val="none"/>
              </w:rPr>
              <w:t>检查；信访举报、其他部门移交等情形除外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9" w:type="dxa"/>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10</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对一类放射性物品运输的核与辐射安全的行政检查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涉及一类放射性物品运输的企业事业单位和其他生产经营者</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依据《中华人民共和国核安全法》《放射性物品运输安全管理条例》《放射性物品运输安全许可管理办法》等规定，对不符合相关法律法规要求的行为予以查处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eastAsia="仿宋_GB2312"/>
                <w:color w:val="000000"/>
                <w:sz w:val="28"/>
                <w:szCs w:val="28"/>
                <w:highlight w:val="none"/>
              </w:rPr>
              <w:t>一类</w:t>
            </w:r>
            <w:r>
              <w:rPr>
                <w:rFonts w:hint="eastAsia" w:ascii="仿宋_GB2312" w:hAnsi="宋体" w:eastAsia="仿宋_GB2312"/>
                <w:color w:val="000000"/>
                <w:sz w:val="28"/>
                <w:szCs w:val="28"/>
                <w:highlight w:val="none"/>
              </w:rPr>
              <w:t>放射性物品运输启运每月原则上至少开展一次现场检查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89" w:type="dxa"/>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11</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对核技术利用单位行政检查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核技术利用单位</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依据《中华人民共和国放射性污染防治法》《放射性同位素与射线装置安全和防护条例》等规定，对不符合相关法律法规要求的行为予以查处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放射性同位素生产、使用、销售单位</w:t>
            </w:r>
            <w:r>
              <w:rPr>
                <w:rFonts w:hint="eastAsia" w:ascii="仿宋_GB2312" w:eastAsia="仿宋_GB2312"/>
                <w:color w:val="000000"/>
                <w:sz w:val="28"/>
                <w:szCs w:val="28"/>
                <w:highlight w:val="none"/>
              </w:rPr>
              <w:t>全年原则上至少开展一次现场</w:t>
            </w:r>
            <w:r>
              <w:rPr>
                <w:rFonts w:hint="eastAsia" w:ascii="仿宋_GB2312" w:hAnsi="宋体" w:eastAsia="仿宋_GB2312"/>
                <w:color w:val="000000"/>
                <w:sz w:val="28"/>
                <w:szCs w:val="28"/>
                <w:highlight w:val="none"/>
              </w:rPr>
              <w:t>检查；射线装置生产、使用、销售单位每</w:t>
            </w:r>
            <w:r>
              <w:rPr>
                <w:rFonts w:hint="eastAsia" w:ascii="仿宋_GB2312" w:eastAsia="仿宋_GB2312"/>
                <w:color w:val="000000"/>
                <w:sz w:val="28"/>
                <w:szCs w:val="28"/>
                <w:highlight w:val="none"/>
              </w:rPr>
              <w:t>五年至少开展一次现场</w:t>
            </w:r>
            <w:r>
              <w:rPr>
                <w:rFonts w:hint="eastAsia" w:ascii="仿宋_GB2312" w:hAnsi="宋体" w:eastAsia="仿宋_GB2312"/>
                <w:color w:val="000000"/>
                <w:sz w:val="28"/>
                <w:szCs w:val="28"/>
                <w:highlight w:val="none"/>
              </w:rPr>
              <w:t>检查；信访举报、其他部门移交等情形除外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4" w:hRule="atLeast"/>
        </w:trPr>
        <w:tc>
          <w:tcPr>
            <w:tcW w:w="789" w:type="dxa"/>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12</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对建设项目环境影响报告书（表）编制的行政检查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涉及建设项目环境影响报告书（表）编制的企业事业单位和其他生产经营者</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、非现场检查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依据《中华人民共和国环境影响评价法》等规定，对不符合相关法律法规要求的行为予以查处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每季度抽取不低于批复项目总量10%的编制报告开展检查；信访举报、其他部门移交等情形除外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89" w:type="dxa"/>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13</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对建设项目投入生产或者使用后所产生的环境影响进行跟踪检查的行政检查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涉及项目投产、使用后产生环境影响的企业事业单位和其他生产经营者</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、非现场检查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依据《中华人民共和国环境影响评价法》等规定，对不符合相关法律法规要求的行为予以查处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按年确定检查计划并开展随机检查；信访举报、其他部门移交等情形除外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5" w:hRule="atLeast"/>
        </w:trPr>
        <w:tc>
          <w:tcPr>
            <w:tcW w:w="789" w:type="dxa"/>
            <w:vAlign w:val="center"/>
          </w:tcPr>
          <w:p>
            <w:pPr>
              <w:spacing w:line="400" w:lineRule="exact"/>
              <w:jc w:val="center"/>
              <w:rPr>
                <w:rFonts w:ascii="仿宋_GB2312" w:hAnsi="宋体" w:eastAsia="仿宋_GB2312"/>
                <w:sz w:val="28"/>
                <w:szCs w:val="28"/>
                <w:highlight w:val="none"/>
              </w:rPr>
            </w:pPr>
            <w:r>
              <w:rPr>
                <w:rFonts w:hint="eastAsia" w:ascii="仿宋_GB2312" w:hAnsi="宋体" w:eastAsia="仿宋_GB2312"/>
                <w:sz w:val="28"/>
                <w:szCs w:val="28"/>
                <w:highlight w:val="none"/>
              </w:rPr>
              <w:t>14</w:t>
            </w:r>
          </w:p>
        </w:tc>
        <w:tc>
          <w:tcPr>
            <w:tcW w:w="2680"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对新化学物质生产、加工使用活动的行政检查</w:t>
            </w:r>
          </w:p>
        </w:tc>
        <w:tc>
          <w:tcPr>
            <w:tcW w:w="2561"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涉及新化学物质生产、加工使用活动的企业事业单位和其他生产经营者</w:t>
            </w:r>
          </w:p>
        </w:tc>
        <w:tc>
          <w:tcPr>
            <w:tcW w:w="1397" w:type="dxa"/>
            <w:vAlign w:val="center"/>
          </w:tcPr>
          <w:p>
            <w:pPr>
              <w:spacing w:line="400" w:lineRule="exact"/>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现场检查</w:t>
            </w:r>
          </w:p>
        </w:tc>
        <w:tc>
          <w:tcPr>
            <w:tcW w:w="3469" w:type="dxa"/>
            <w:vAlign w:val="center"/>
          </w:tcPr>
          <w:p>
            <w:pPr>
              <w:spacing w:line="400" w:lineRule="exact"/>
              <w:rPr>
                <w:rFonts w:hint="eastAsia" w:ascii="仿宋_GB2312" w:hAnsi="宋体" w:eastAsia="仿宋_GB2312"/>
                <w:sz w:val="28"/>
                <w:szCs w:val="28"/>
                <w:highlight w:val="none"/>
              </w:rPr>
            </w:pPr>
            <w:r>
              <w:rPr>
                <w:rFonts w:hint="eastAsia" w:ascii="仿宋_GB2312" w:hAnsi="宋体" w:eastAsia="仿宋_GB2312"/>
                <w:sz w:val="28"/>
                <w:szCs w:val="28"/>
                <w:highlight w:val="none"/>
              </w:rPr>
              <w:t>依据《新化学物质环境管理登记办法》等规定，对不符合相关法律法规要求的行为予以查处</w:t>
            </w:r>
          </w:p>
        </w:tc>
        <w:tc>
          <w:tcPr>
            <w:tcW w:w="3366" w:type="dxa"/>
            <w:vAlign w:val="center"/>
          </w:tcPr>
          <w:p>
            <w:pPr>
              <w:spacing w:line="400" w:lineRule="exact"/>
              <w:jc w:val="left"/>
              <w:rPr>
                <w:rFonts w:hint="eastAsia"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按年确定检查计划并开展随机检查；信访举报、其他部门移交等情形除外</w:t>
            </w:r>
          </w:p>
        </w:tc>
      </w:tr>
    </w:tbl>
    <w:p/>
    <w:bookmarkEnd w:id="0"/>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600000000000000"/>
    <w:charset w:val="86"/>
    <w:family w:val="auto"/>
    <w:pitch w:val="default"/>
    <w:sig w:usb0="00000000" w:usb1="00000000" w:usb2="00000012" w:usb3="00000000" w:csb0="00160001" w:csb1="1203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1457E"/>
    <w:rsid w:val="56D14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5">
    <w:name w:val="page number"/>
    <w:uiPriority w:val="0"/>
  </w:style>
  <w:style w:type="character" w:customStyle="1" w:styleId="7">
    <w:name w:val="15"/>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2023-11-20T06:18:00Z</dcterms:created>
  <dc:creator>赵旭</dc:creator>
  <cp:lastModifiedBy>赵旭</cp:lastModifiedBy>
  <dcterms:modified xsi:type="dcterms:W3CDTF">2023-11-20T06:19:04Z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