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黑体" w:hAnsi="黑体" w:eastAsia="黑体" w:cs="方正小标宋_GBK"/>
          <w:b w:val="0"/>
          <w:color w:val="000000"/>
          <w:kern w:val="0"/>
          <w:sz w:val="32"/>
          <w:szCs w:val="32"/>
        </w:rPr>
      </w:pPr>
      <w:r>
        <w:rPr>
          <w:rStyle w:val="4"/>
          <w:rFonts w:hint="eastAsia" w:ascii="黑体" w:hAnsi="黑体" w:eastAsia="黑体" w:cs="方正小标宋_GBK"/>
          <w:b w:val="0"/>
          <w:color w:val="000000"/>
          <w:kern w:val="0"/>
          <w:sz w:val="32"/>
          <w:szCs w:val="32"/>
        </w:rPr>
        <w:t>附件2</w:t>
      </w:r>
    </w:p>
    <w:p>
      <w:pPr>
        <w:widowControl/>
        <w:jc w:val="left"/>
        <w:rPr>
          <w:rStyle w:val="4"/>
          <w:rFonts w:hint="eastAsia" w:ascii="黑体" w:hAnsi="黑体" w:eastAsia="黑体" w:cs="方正小标宋_GBK"/>
          <w:b w:val="0"/>
          <w:color w:val="000000"/>
          <w:kern w:val="0"/>
          <w:sz w:val="32"/>
          <w:szCs w:val="32"/>
        </w:rPr>
      </w:pPr>
    </w:p>
    <w:p>
      <w:pPr>
        <w:spacing w:before="286" w:beforeLines="100" w:after="286" w:afterLines="10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“两山”基地建设补充指标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6"/>
        <w:tblW w:w="8790" w:type="dxa"/>
        <w:jc w:val="center"/>
        <w:tblInd w:w="-62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389"/>
        <w:gridCol w:w="27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tblHeader/>
          <w:jc w:val="center"/>
        </w:trPr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color w:val="000000"/>
              </w:rPr>
            </w:pPr>
            <w:bookmarkStart w:id="0" w:name="_Hlk5615365"/>
            <w:r>
              <w:rPr>
                <w:rFonts w:hint="eastAsia" w:ascii="黑体" w:hAnsi="黑体" w:eastAsia="黑体" w:cs="仿宋_GB2312"/>
                <w:bCs/>
                <w:color w:val="000000"/>
              </w:rPr>
              <w:t>序号</w:t>
            </w:r>
          </w:p>
        </w:tc>
        <w:tc>
          <w:tcPr>
            <w:tcW w:w="53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</w:rPr>
              <w:t>指标</w:t>
            </w:r>
          </w:p>
        </w:tc>
        <w:tc>
          <w:tcPr>
            <w:tcW w:w="27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color w:val="00000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</w:rPr>
              <w:t>目标参考值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生态环境质量状况全市排名情况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保持稳定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近三年生态环境质量状况变化情况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稳定提高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pacing w:val="-6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kern w:val="0"/>
              </w:rPr>
              <w:t>3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仿宋_GB2312"/>
                <w:color w:val="000000"/>
                <w:spacing w:val="-6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区域环境噪声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不低于全市平均水平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pacing w:val="-6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kern w:val="0"/>
              </w:rPr>
              <w:t>4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噪声投诉举报解决情况满意率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"/>
              </w:rPr>
              <w:t>不低于全市平均水平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5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生态环境保护重点工作完成情况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6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生态保护红线、自然保护地等重要生态空间的人类活动遥感监测工作开展情况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7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生物多样性保护及生态监测工作开展情况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8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生态保护补偿转移支付资金用在生态环境保护领域的落实情况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9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szCs w:val="21"/>
              </w:rPr>
              <w:t>生态建设与生态修复工程开展情况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spacing w:val="-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10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生态文明示范创建工作的体制机制建设情况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11</w:t>
            </w:r>
          </w:p>
        </w:tc>
        <w:tc>
          <w:tcPr>
            <w:tcW w:w="53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spacing w:val="-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</w:rPr>
              <w:t>中央及本市生态环境保护督察及各类专项督查问题整改情况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4"/>
              </w:rPr>
              <w:t>完成上级要求</w:t>
            </w:r>
          </w:p>
        </w:tc>
      </w:tr>
      <w:bookmarkEnd w:id="0"/>
    </w:tbl>
    <w:p>
      <w:r>
        <w:rPr>
          <w:rFonts w:hint="eastAsia" w:ascii="黑体" w:hAnsi="黑体" w:eastAsia="黑体"/>
          <w:sz w:val="32"/>
          <w:szCs w:val="32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6E9F"/>
    <w:rsid w:val="1F576CAF"/>
    <w:rsid w:val="53E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Strong"/>
    <w:basedOn w:val="3"/>
    <w:qFormat/>
    <w:uiPriority w:val="99"/>
    <w:rPr>
      <w:b/>
      <w:bCs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2021-01-05T09:59:00Z</dcterms:created>
  <dc:creator>北京市生态环境局</dc:creator>
  <cp:lastModifiedBy>北京市生态环境局</cp:lastModifiedBy>
  <dcterms:modified xsi:type="dcterms:W3CDTF">2021-01-05T09:59:37Z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