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rPr>
      </w:pPr>
      <w:r>
        <w:rPr>
          <w:rFonts w:hint="eastAsia" w:ascii="黑体" w:hAnsi="黑体" w:eastAsia="黑体"/>
          <w:sz w:val="32"/>
        </w:rPr>
        <w:t>附件1</w:t>
      </w:r>
    </w:p>
    <w:p>
      <w:pPr>
        <w:spacing w:line="560" w:lineRule="exact"/>
        <w:jc w:val="left"/>
        <w:rPr>
          <w:rFonts w:hint="eastAsia" w:ascii="黑体" w:hAnsi="黑体" w:eastAsia="黑体"/>
          <w:sz w:val="32"/>
        </w:rPr>
      </w:pPr>
    </w:p>
    <w:p>
      <w:pPr>
        <w:spacing w:line="660" w:lineRule="exact"/>
        <w:jc w:val="center"/>
        <w:rPr>
          <w:rFonts w:hint="eastAsia" w:eastAsia="方正小标宋简体"/>
          <w:sz w:val="44"/>
          <w:szCs w:val="44"/>
        </w:rPr>
      </w:pPr>
      <w:r>
        <w:rPr>
          <w:rFonts w:hint="eastAsia" w:eastAsia="方正小标宋简体"/>
          <w:sz w:val="44"/>
          <w:szCs w:val="44"/>
        </w:rPr>
        <w:t>关于申报国六标准机动车环保</w:t>
      </w:r>
    </w:p>
    <w:p>
      <w:pPr>
        <w:spacing w:line="660" w:lineRule="exact"/>
        <w:jc w:val="center"/>
        <w:rPr>
          <w:rFonts w:ascii="仿宋_GB2312" w:eastAsia="仿宋_GB2312"/>
          <w:sz w:val="32"/>
        </w:rPr>
      </w:pPr>
      <w:r>
        <w:rPr>
          <w:rFonts w:hint="eastAsia" w:eastAsia="方正小标宋简体"/>
          <w:sz w:val="44"/>
          <w:szCs w:val="44"/>
        </w:rPr>
        <w:t>车型目录的有关要求</w:t>
      </w:r>
    </w:p>
    <w:p>
      <w:pPr>
        <w:spacing w:line="560" w:lineRule="exact"/>
        <w:ind w:firstLine="640" w:firstLineChars="200"/>
        <w:rPr>
          <w:rFonts w:hint="eastAsia" w:ascii="黑体" w:hAnsi="黑体" w:eastAsia="黑体"/>
          <w:sz w:val="32"/>
        </w:rPr>
      </w:pPr>
    </w:p>
    <w:p>
      <w:pPr>
        <w:spacing w:line="560" w:lineRule="exact"/>
        <w:ind w:firstLine="640" w:firstLineChars="200"/>
        <w:rPr>
          <w:rFonts w:hint="eastAsia" w:ascii="黑体" w:hAnsi="黑体" w:eastAsia="黑体"/>
          <w:sz w:val="32"/>
        </w:rPr>
      </w:pPr>
      <w:r>
        <w:rPr>
          <w:rFonts w:hint="eastAsia" w:ascii="黑体" w:hAnsi="黑体" w:eastAsia="黑体"/>
          <w:sz w:val="32"/>
        </w:rPr>
        <w:t>一、申报主体</w:t>
      </w:r>
    </w:p>
    <w:p>
      <w:pPr>
        <w:spacing w:line="560" w:lineRule="exact"/>
        <w:ind w:firstLine="640" w:firstLineChars="200"/>
        <w:rPr>
          <w:rFonts w:hint="eastAsia" w:ascii="仿宋_GB2312" w:eastAsia="仿宋_GB2312"/>
          <w:sz w:val="32"/>
        </w:rPr>
      </w:pPr>
      <w:r>
        <w:rPr>
          <w:rFonts w:hint="eastAsia" w:ascii="仿宋_GB2312" w:eastAsia="仿宋_GB2312"/>
          <w:sz w:val="32"/>
        </w:rPr>
        <w:t>拟在本市销售汽车或发动机的生产企业（或汽车或发动机生产企业委托的申报单位）。</w:t>
      </w:r>
    </w:p>
    <w:p>
      <w:pPr>
        <w:spacing w:line="560" w:lineRule="exact"/>
        <w:ind w:firstLine="640" w:firstLineChars="200"/>
        <w:rPr>
          <w:rFonts w:hint="eastAsia" w:ascii="黑体" w:hAnsi="黑体" w:eastAsia="黑体"/>
          <w:sz w:val="32"/>
        </w:rPr>
      </w:pPr>
      <w:r>
        <w:rPr>
          <w:rFonts w:hint="eastAsia" w:ascii="黑体" w:hAnsi="黑体" w:eastAsia="黑体"/>
          <w:sz w:val="32"/>
        </w:rPr>
        <w:t>二、申报方式</w:t>
      </w:r>
    </w:p>
    <w:p>
      <w:pPr>
        <w:spacing w:line="560" w:lineRule="exact"/>
        <w:ind w:firstLine="640" w:firstLineChars="200"/>
        <w:rPr>
          <w:rFonts w:hint="eastAsia" w:eastAsia="仿宋_GB2312"/>
          <w:sz w:val="32"/>
        </w:rPr>
      </w:pPr>
      <w:r>
        <w:rPr>
          <w:rFonts w:hint="eastAsia" w:eastAsia="仿宋_GB2312"/>
          <w:sz w:val="32"/>
        </w:rPr>
        <w:t>各单位通过网络方式申报环保车型目录（网址：</w:t>
      </w:r>
      <w:r>
        <w:rPr>
          <w:rFonts w:eastAsia="仿宋_GB2312"/>
          <w:sz w:val="32"/>
        </w:rPr>
        <w:fldChar w:fldCharType="begin"/>
      </w:r>
      <w:r>
        <w:rPr>
          <w:rFonts w:eastAsia="仿宋_GB2312"/>
          <w:sz w:val="32"/>
        </w:rPr>
        <w:instrText xml:space="preserve"> </w:instrText>
      </w:r>
      <w:r>
        <w:rPr>
          <w:rFonts w:hint="eastAsia" w:eastAsia="仿宋_GB2312"/>
          <w:sz w:val="32"/>
        </w:rPr>
        <w:instrText xml:space="preserve">HYPERLINK "http://sthjj.beijing.gov.cn/网上办事/北京市生态环境局政务服务事项/"</w:instrText>
      </w:r>
      <w:r>
        <w:rPr>
          <w:rFonts w:eastAsia="仿宋_GB2312"/>
          <w:sz w:val="32"/>
        </w:rPr>
        <w:instrText xml:space="preserve"> </w:instrText>
      </w:r>
      <w:r>
        <w:rPr>
          <w:rFonts w:eastAsia="仿宋_GB2312"/>
          <w:sz w:val="32"/>
        </w:rPr>
        <w:fldChar w:fldCharType="separate"/>
      </w:r>
      <w:r>
        <w:rPr>
          <w:rFonts w:eastAsia="仿宋_GB2312"/>
          <w:sz w:val="32"/>
        </w:rPr>
        <w:t>http://sthjj.beijing.gov.cn</w:t>
      </w:r>
      <w:r>
        <w:rPr>
          <w:rFonts w:hint="eastAsia" w:eastAsia="仿宋_GB2312"/>
          <w:sz w:val="32"/>
        </w:rPr>
        <w:t>/网上办事/北京市生态环境局政务服务事项/</w:t>
      </w:r>
      <w:r>
        <w:rPr>
          <w:rFonts w:eastAsia="仿宋_GB2312"/>
          <w:sz w:val="32"/>
        </w:rPr>
        <w:fldChar w:fldCharType="end"/>
      </w:r>
      <w:r>
        <w:rPr>
          <w:rFonts w:hint="eastAsia" w:eastAsia="仿宋_GB2312"/>
          <w:sz w:val="32"/>
        </w:rPr>
        <w:t>符合规定排放、耗能标准的机动车车型和非道路移动机械的认定</w:t>
      </w:r>
      <w:r>
        <w:rPr>
          <w:rFonts w:eastAsia="仿宋_GB2312"/>
          <w:sz w:val="32"/>
        </w:rPr>
        <w:t>/</w:t>
      </w:r>
      <w:r>
        <w:rPr>
          <w:rFonts w:hint="eastAsia" w:eastAsia="仿宋_GB2312"/>
          <w:sz w:val="32"/>
        </w:rPr>
        <w:t>北京市符合规定排放标准的机动车车型认定网上许可系统）。</w:t>
      </w:r>
    </w:p>
    <w:p>
      <w:pPr>
        <w:spacing w:line="560" w:lineRule="exact"/>
        <w:ind w:firstLine="640" w:firstLineChars="200"/>
        <w:rPr>
          <w:rFonts w:ascii="黑体" w:hAnsi="黑体" w:eastAsia="黑体"/>
          <w:sz w:val="32"/>
        </w:rPr>
      </w:pPr>
      <w:r>
        <w:rPr>
          <w:rFonts w:hint="eastAsia" w:ascii="黑体" w:hAnsi="黑体" w:eastAsia="黑体"/>
          <w:sz w:val="32"/>
        </w:rPr>
        <w:t>三、申报材料</w:t>
      </w:r>
    </w:p>
    <w:p>
      <w:pPr>
        <w:spacing w:line="560" w:lineRule="exact"/>
        <w:ind w:firstLine="640" w:firstLineChars="200"/>
        <w:rPr>
          <w:rFonts w:hint="eastAsia" w:ascii="楷体" w:hAnsi="楷体" w:eastAsia="楷体"/>
          <w:sz w:val="32"/>
        </w:rPr>
      </w:pPr>
      <w:r>
        <w:rPr>
          <w:rFonts w:hint="eastAsia" w:eastAsia="仿宋_GB2312"/>
          <w:sz w:val="32"/>
        </w:rPr>
        <w:t>申报车型均需按照《轻型车国六标准》</w:t>
      </w:r>
      <w:r>
        <w:rPr>
          <w:rFonts w:eastAsia="仿宋_GB2312"/>
          <w:sz w:val="32"/>
        </w:rPr>
        <w:t>6b</w:t>
      </w:r>
      <w:r>
        <w:rPr>
          <w:rFonts w:hint="eastAsia" w:eastAsia="仿宋_GB2312"/>
          <w:sz w:val="32"/>
        </w:rPr>
        <w:t>阶段或《重型车国六标准》</w:t>
      </w:r>
      <w:r>
        <w:rPr>
          <w:rFonts w:eastAsia="仿宋_GB2312"/>
          <w:sz w:val="32"/>
        </w:rPr>
        <w:t>6b</w:t>
      </w:r>
      <w:r>
        <w:rPr>
          <w:rFonts w:hint="eastAsia" w:eastAsia="仿宋_GB2312"/>
          <w:sz w:val="32"/>
        </w:rPr>
        <w:t>阶段的要求进行各项试验，在“北京市符合规定排放标准的机动车车型认定网上许可系统”中上传检测报告。</w:t>
      </w:r>
    </w:p>
    <w:p>
      <w:pPr>
        <w:spacing w:line="560" w:lineRule="exact"/>
        <w:ind w:firstLine="640" w:firstLineChars="200"/>
        <w:rPr>
          <w:rFonts w:hint="eastAsia" w:ascii="楷体_GB2312" w:hAnsi="楷体" w:eastAsia="楷体_GB2312"/>
          <w:sz w:val="32"/>
        </w:rPr>
      </w:pPr>
      <w:r>
        <w:rPr>
          <w:rFonts w:hint="eastAsia" w:ascii="楷体_GB2312" w:hAnsi="楷体" w:eastAsia="楷体_GB2312"/>
          <w:sz w:val="32"/>
        </w:rPr>
        <w:t>（一）轻型汽油车申报材料</w:t>
      </w:r>
    </w:p>
    <w:p>
      <w:pPr>
        <w:spacing w:line="560" w:lineRule="exact"/>
        <w:ind w:firstLine="640" w:firstLineChars="200"/>
        <w:rPr>
          <w:rFonts w:hint="eastAsia" w:ascii="仿宋_GB2312" w:eastAsia="仿宋_GB2312"/>
          <w:sz w:val="32"/>
        </w:rPr>
      </w:pPr>
      <w:r>
        <w:rPr>
          <w:rFonts w:hint="eastAsia" w:ascii="仿宋_GB2312" w:eastAsia="仿宋_GB2312"/>
          <w:sz w:val="32"/>
        </w:rPr>
        <w:t>依据《轻型车国六标准》第5.3条的要求选择1辆车进行各项试验（包括Ⅰ型、Ⅱ型、Ⅲ型、Ⅳ型、Ⅴ型、Ⅵ型、Ⅶ型、OBD系统、碳罐有效容积和初始工作能力、催化转换器载体体积和各种贵金属含量等试验），并上传检测报告。其中，Ⅴ型试验（污染物控制装置耐久性试验），企业可以选择《轻型车国六标准》5.3.5推荐的劣化系数（修正值），也可以选择进行耐久性试验。对于选择标准推荐劣化系数（修正值）的企业，</w:t>
      </w:r>
      <w:r>
        <w:rPr>
          <w:rFonts w:hint="eastAsia" w:ascii="仿宋_GB2312" w:eastAsia="仿宋_GB2312"/>
          <w:color w:val="000000"/>
          <w:sz w:val="32"/>
        </w:rPr>
        <w:t>可不提交耐久检测报告和催化转化器载体体积及贵金属含量检测报告，</w:t>
      </w:r>
      <w:r>
        <w:rPr>
          <w:rFonts w:hint="eastAsia" w:ascii="仿宋_GB2312" w:eastAsia="仿宋_GB2312"/>
          <w:sz w:val="32"/>
        </w:rPr>
        <w:t>但需提供“本公司采用劣化系数的说明”（见附件），并加盖企业公章；对于选择进行耐久性试验的企业，需在检测报告内注明耐久里程范围，并提交催化转化器载体体积及贵金属含量检测报告。此外，企业需按照《轻型车国六标准》附录A.4.2.10.2.7的要求提交申报车型的OBD相关资料。</w:t>
      </w:r>
    </w:p>
    <w:p>
      <w:pPr>
        <w:spacing w:line="560" w:lineRule="exact"/>
        <w:ind w:firstLine="640" w:firstLineChars="200"/>
        <w:rPr>
          <w:rFonts w:hint="eastAsia" w:ascii="楷体_GB2312" w:hAnsi="楷体" w:eastAsia="楷体_GB2312"/>
          <w:sz w:val="32"/>
        </w:rPr>
      </w:pPr>
      <w:r>
        <w:rPr>
          <w:rFonts w:hint="eastAsia" w:ascii="楷体_GB2312" w:hAnsi="楷体" w:eastAsia="楷体_GB2312"/>
          <w:sz w:val="32"/>
        </w:rPr>
        <w:t>（二）重型车用发动机申报材料</w:t>
      </w:r>
    </w:p>
    <w:p>
      <w:pPr>
        <w:spacing w:line="560" w:lineRule="exact"/>
        <w:ind w:firstLine="640" w:firstLineChars="200"/>
        <w:rPr>
          <w:rFonts w:hint="eastAsia" w:ascii="仿宋_GB2312" w:eastAsia="仿宋_GB2312"/>
          <w:sz w:val="32"/>
        </w:rPr>
      </w:pPr>
      <w:r>
        <w:rPr>
          <w:rFonts w:hint="eastAsia" w:ascii="仿宋_GB2312" w:eastAsia="仿宋_GB2312"/>
          <w:sz w:val="32"/>
        </w:rPr>
        <w:t>依据《重型车国六标准》第6条的要求选择1台发动机进行各项试验（包括稳态工况、瞬态工况、发动机台架非标准循环、发动机原机排放、整车车载法、曲轴箱通风、耐久性、OBD及NOx控制等试验），并上传检测报告。其中，对于耐久性试验，企业可以选择进行耐久性试验，也可以选择采用《重型车国六标准》表H.2推荐的劣化系数。对于选择标准推荐劣化系数的企业，需提供“本公司采用劣化系数的说明”（见附件），并加盖企业公章。此外，企业需按照《重型车国六标准》第6.1.3、6.9.2、附录A.3、6.1.2.4（如适用）条的要求提交申报机型相关文件资料，其中声明文件应加盖公章扫描成PDF文件后提交。</w:t>
      </w:r>
    </w:p>
    <w:p>
      <w:pPr>
        <w:spacing w:line="560" w:lineRule="exact"/>
        <w:ind w:firstLine="640" w:firstLineChars="200"/>
        <w:rPr>
          <w:rFonts w:hint="eastAsia" w:ascii="楷体_GB2312" w:hAnsi="楷体" w:eastAsia="楷体_GB2312"/>
          <w:sz w:val="32"/>
        </w:rPr>
      </w:pPr>
      <w:r>
        <w:rPr>
          <w:rFonts w:hint="eastAsia" w:ascii="楷体_GB2312" w:hAnsi="楷体" w:eastAsia="楷体_GB2312"/>
          <w:sz w:val="32"/>
        </w:rPr>
        <w:t>（三）重型整车申报材料</w:t>
      </w:r>
    </w:p>
    <w:p>
      <w:pPr>
        <w:spacing w:line="560" w:lineRule="exact"/>
        <w:rPr>
          <w:rFonts w:hint="eastAsia" w:ascii="仿宋_GB2312" w:eastAsia="仿宋_GB2312"/>
          <w:sz w:val="32"/>
        </w:rPr>
      </w:pPr>
      <w:r>
        <w:rPr>
          <w:rFonts w:eastAsia="仿宋_GB2312"/>
          <w:sz w:val="32"/>
        </w:rPr>
        <w:t xml:space="preserve">   </w:t>
      </w:r>
      <w:r>
        <w:rPr>
          <w:rFonts w:hint="eastAsia" w:ascii="仿宋_GB2312" w:eastAsia="仿宋_GB2312"/>
          <w:sz w:val="32"/>
        </w:rPr>
        <w:t xml:space="preserve"> 重型整车需装配符合国六排放标准的发动机，按照《重型车国六标准》中第6.4.2、6.12.5的要求选择1辆车进行整车车载法（PEMS）排放试验和燃料消耗量测试排气污染物排放试验（不适用GB30510-2018标准的车辆可不进行燃料消耗量测试排气污染物排放试验），并上传检测报告。此外，车辆应装备符合《重型车国六标准》附录Q要求的远程排放管理车载终端，并按标准要求将监控数据发送至我局在线监控平台（车辆数据接收域名：jc.bjmemc.com.cn，端口号：7740），同时提交车辆远程排放管理车载终端上传数据与车辆实际运行数据的一致性检查报告。</w:t>
      </w:r>
    </w:p>
    <w:p>
      <w:pPr>
        <w:spacing w:line="560" w:lineRule="exact"/>
        <w:ind w:firstLine="640" w:firstLineChars="200"/>
        <w:rPr>
          <w:rFonts w:ascii="黑体" w:hAnsi="黑体" w:eastAsia="黑体"/>
          <w:sz w:val="32"/>
        </w:rPr>
      </w:pPr>
      <w:r>
        <w:rPr>
          <w:rFonts w:hint="eastAsia" w:ascii="黑体" w:hAnsi="黑体" w:eastAsia="黑体"/>
          <w:sz w:val="32"/>
        </w:rPr>
        <w:t>四、其他事项</w:t>
      </w:r>
    </w:p>
    <w:p>
      <w:pPr>
        <w:spacing w:line="560" w:lineRule="exact"/>
        <w:ind w:firstLine="640" w:firstLineChars="200"/>
        <w:rPr>
          <w:rFonts w:hint="eastAsia" w:ascii="仿宋_GB2312" w:eastAsia="仿宋_GB2312"/>
          <w:sz w:val="32"/>
        </w:rPr>
      </w:pPr>
      <w:r>
        <w:rPr>
          <w:rFonts w:hint="eastAsia" w:ascii="仿宋_GB2312" w:eastAsia="仿宋_GB2312"/>
          <w:sz w:val="32"/>
        </w:rPr>
        <w:t>1．关于检测报告，申报企业可自行开展检测出具试验检测报告，也可委托具有相关检测资质的检测机构进行检测出具。检测报告需加盖出具报告单位的电子签章。其中，申报企业自行开展检测出具试验检测报告的，应同时提交所使用的检测仪器设备清单及其计量检定证书。</w:t>
      </w:r>
    </w:p>
    <w:p>
      <w:pPr>
        <w:spacing w:line="560" w:lineRule="exact"/>
        <w:ind w:firstLine="640" w:firstLineChars="200"/>
        <w:rPr>
          <w:rFonts w:hint="eastAsia" w:ascii="仿宋_GB2312" w:eastAsia="仿宋_GB2312"/>
          <w:sz w:val="32"/>
        </w:rPr>
      </w:pPr>
      <w:r>
        <w:rPr>
          <w:rFonts w:hint="eastAsia" w:ascii="仿宋_GB2312" w:eastAsia="仿宋_GB2312"/>
          <w:sz w:val="32"/>
        </w:rPr>
        <w:t>2．为做好车辆管理，对于满足国六标准不同排放阶段的车辆，型号应予以区分。同时，对同一阶段中满足不同要求（例如：PN、RDE、耐久里程等满足不同要求）的车辆，型号应予以区分。</w:t>
      </w:r>
    </w:p>
    <w:p>
      <w:pPr>
        <w:spacing w:line="560" w:lineRule="exact"/>
        <w:ind w:firstLine="480" w:firstLineChars="150"/>
        <w:rPr>
          <w:rFonts w:eastAsia="仿宋_GB2312"/>
          <w:sz w:val="32"/>
        </w:rPr>
      </w:pPr>
    </w:p>
    <w:p>
      <w:pPr>
        <w:spacing w:line="560" w:lineRule="exact"/>
        <w:ind w:firstLine="640" w:firstLineChars="200"/>
        <w:rPr>
          <w:rFonts w:eastAsia="仿宋_GB2312"/>
          <w:sz w:val="32"/>
        </w:rPr>
      </w:pPr>
      <w:r>
        <w:rPr>
          <w:rFonts w:hint="eastAsia" w:eastAsia="仿宋_GB2312"/>
          <w:sz w:val="32"/>
        </w:rPr>
        <w:t>附件：本公司采用劣化系数的说明</w:t>
      </w:r>
    </w:p>
    <w:p>
      <w:pPr>
        <w:spacing w:line="560" w:lineRule="exact"/>
        <w:rPr>
          <w:rFonts w:ascii="黑体" w:hAnsi="黑体" w:eastAsia="黑体"/>
          <w:sz w:val="32"/>
          <w:szCs w:val="32"/>
        </w:rPr>
      </w:pPr>
      <w:r>
        <w:rPr>
          <w:rFonts w:hint="eastAsia" w:ascii="仿宋_GB2312" w:eastAsia="仿宋_GB2312"/>
          <w:sz w:val="32"/>
        </w:rPr>
        <w:br w:type="page"/>
      </w:r>
      <w:r>
        <w:rPr>
          <w:rFonts w:hint="eastAsia" w:ascii="黑体" w:hAnsi="黑体" w:eastAsia="黑体"/>
          <w:sz w:val="32"/>
          <w:szCs w:val="32"/>
        </w:rPr>
        <w:t>附件</w:t>
      </w:r>
    </w:p>
    <w:p>
      <w:pPr>
        <w:spacing w:before="143" w:beforeLines="5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本公司采用劣化系数的说明</w:t>
      </w:r>
    </w:p>
    <w:p>
      <w:pPr>
        <w:spacing w:after="120" w:line="580" w:lineRule="exact"/>
        <w:jc w:val="center"/>
        <w:rPr>
          <w:rFonts w:hint="eastAsia" w:ascii="仿宋_GB2312" w:eastAsia="仿宋_GB2312"/>
          <w:sz w:val="32"/>
          <w:szCs w:val="32"/>
        </w:rPr>
      </w:pPr>
      <w:r>
        <w:rPr>
          <w:rFonts w:hint="eastAsia" w:ascii="仿宋_GB2312" w:eastAsia="仿宋_GB2312"/>
          <w:sz w:val="32"/>
          <w:szCs w:val="32"/>
        </w:rPr>
        <w:t>（轻型汽车适用）</w:t>
      </w:r>
    </w:p>
    <w:p>
      <w:pPr>
        <w:spacing w:after="120" w:line="580" w:lineRule="exact"/>
        <w:ind w:firstLine="630"/>
        <w:rPr>
          <w:rFonts w:hint="eastAsia" w:eastAsia="仿宋_GB2312"/>
          <w:sz w:val="32"/>
          <w:szCs w:val="32"/>
        </w:rPr>
      </w:pPr>
      <w:r>
        <w:rPr>
          <w:rFonts w:hint="eastAsia" w:eastAsia="仿宋_GB2312"/>
          <w:sz w:val="32"/>
          <w:szCs w:val="32"/>
        </w:rPr>
        <w:t>本公司生产的</w:t>
      </w:r>
      <w:r>
        <w:rPr>
          <w:rFonts w:eastAsia="仿宋_GB2312"/>
          <w:sz w:val="32"/>
          <w:szCs w:val="32"/>
          <w:u w:val="single"/>
        </w:rPr>
        <w:t xml:space="preserve">    </w:t>
      </w:r>
      <w:r>
        <w:rPr>
          <w:rFonts w:hint="eastAsia" w:eastAsia="仿宋_GB2312"/>
          <w:sz w:val="32"/>
          <w:szCs w:val="32"/>
        </w:rPr>
        <w:t>车型自愿采用《轻型汽车污染物排放限值及测量方法（中国第六阶段）》（</w:t>
      </w:r>
      <w:r>
        <w:rPr>
          <w:rFonts w:eastAsia="仿宋_GB2312"/>
          <w:sz w:val="32"/>
          <w:szCs w:val="32"/>
        </w:rPr>
        <w:t>GB 18352.6-2016</w:t>
      </w:r>
      <w:r>
        <w:rPr>
          <w:rFonts w:hint="eastAsia" w:eastAsia="仿宋_GB2312"/>
          <w:sz w:val="32"/>
          <w:szCs w:val="32"/>
        </w:rPr>
        <w:t>）表</w:t>
      </w:r>
      <w:r>
        <w:rPr>
          <w:rFonts w:eastAsia="仿宋_GB2312"/>
          <w:sz w:val="32"/>
          <w:szCs w:val="32"/>
        </w:rPr>
        <w:t>6</w:t>
      </w:r>
      <w:r>
        <w:rPr>
          <w:rFonts w:hint="eastAsia" w:eastAsia="仿宋_GB2312"/>
          <w:sz w:val="32"/>
          <w:szCs w:val="32"/>
        </w:rPr>
        <w:t>（或表</w:t>
      </w:r>
      <w:r>
        <w:rPr>
          <w:rFonts w:eastAsia="仿宋_GB2312"/>
          <w:sz w:val="32"/>
          <w:szCs w:val="32"/>
        </w:rPr>
        <w:t>7</w:t>
      </w:r>
      <w:r>
        <w:rPr>
          <w:rFonts w:hint="eastAsia" w:eastAsia="仿宋_GB2312"/>
          <w:sz w:val="32"/>
          <w:szCs w:val="32"/>
        </w:rPr>
        <w:t>）和表</w:t>
      </w:r>
      <w:r>
        <w:rPr>
          <w:rFonts w:eastAsia="仿宋_GB2312"/>
          <w:sz w:val="32"/>
          <w:szCs w:val="32"/>
        </w:rPr>
        <w:t>8</w:t>
      </w:r>
      <w:r>
        <w:rPr>
          <w:rFonts w:hint="eastAsia" w:eastAsia="仿宋_GB2312"/>
          <w:sz w:val="32"/>
          <w:szCs w:val="32"/>
        </w:rPr>
        <w:t>推荐的劣化系数（或修正值），具体见下表：</w:t>
      </w:r>
    </w:p>
    <w:p>
      <w:pPr>
        <w:spacing w:after="120" w:line="580" w:lineRule="exact"/>
        <w:jc w:val="center"/>
        <w:rPr>
          <w:rFonts w:eastAsia="仿宋_GB2312"/>
          <w:sz w:val="32"/>
          <w:szCs w:val="32"/>
        </w:rPr>
      </w:pPr>
      <w:r>
        <w:rPr>
          <w:rFonts w:hint="eastAsia" w:eastAsia="仿宋_GB2312"/>
          <w:sz w:val="32"/>
          <w:szCs w:val="32"/>
        </w:rPr>
        <w:t>Ⅰ型试验劣化系数（或修正值）</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989"/>
        <w:gridCol w:w="1008"/>
        <w:gridCol w:w="1176"/>
        <w:gridCol w:w="1007"/>
        <w:gridCol w:w="1002"/>
        <w:gridCol w:w="99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hint="eastAsia" w:eastAsia="仿宋_GB2312"/>
                <w:sz w:val="32"/>
                <w:szCs w:val="32"/>
              </w:rPr>
              <w:t>阶段</w:t>
            </w:r>
          </w:p>
        </w:tc>
        <w:tc>
          <w:tcPr>
            <w:tcW w:w="98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eastAsia="仿宋_GB2312"/>
                <w:sz w:val="32"/>
                <w:szCs w:val="32"/>
              </w:rPr>
              <w:t>CO</w:t>
            </w:r>
          </w:p>
        </w:tc>
        <w:tc>
          <w:tcPr>
            <w:tcW w:w="10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eastAsia="仿宋_GB2312"/>
                <w:sz w:val="32"/>
                <w:szCs w:val="32"/>
              </w:rPr>
              <w:t>THC</w:t>
            </w:r>
          </w:p>
        </w:tc>
        <w:tc>
          <w:tcPr>
            <w:tcW w:w="11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eastAsia="仿宋_GB2312"/>
                <w:sz w:val="32"/>
                <w:szCs w:val="32"/>
              </w:rPr>
              <w:t>NMHC</w:t>
            </w:r>
          </w:p>
        </w:tc>
        <w:tc>
          <w:tcPr>
            <w:tcW w:w="10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eastAsia="仿宋_GB2312"/>
                <w:sz w:val="32"/>
                <w:szCs w:val="32"/>
              </w:rPr>
              <w:t>NOx</w:t>
            </w:r>
          </w:p>
        </w:tc>
        <w:tc>
          <w:tcPr>
            <w:tcW w:w="100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eastAsia="仿宋_GB2312"/>
                <w:sz w:val="32"/>
                <w:szCs w:val="32"/>
              </w:rPr>
              <w:t>N</w:t>
            </w:r>
            <w:r>
              <w:rPr>
                <w:rFonts w:eastAsia="仿宋_GB2312"/>
                <w:sz w:val="32"/>
                <w:szCs w:val="32"/>
                <w:vertAlign w:val="subscript"/>
              </w:rPr>
              <w:t>2</w:t>
            </w:r>
            <w:r>
              <w:rPr>
                <w:rFonts w:eastAsia="仿宋_GB2312"/>
                <w:sz w:val="32"/>
                <w:szCs w:val="32"/>
              </w:rPr>
              <w:t>O</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eastAsia="仿宋_GB2312"/>
                <w:sz w:val="32"/>
                <w:szCs w:val="32"/>
              </w:rPr>
              <w:t>PM</w:t>
            </w:r>
          </w:p>
        </w:tc>
        <w:tc>
          <w:tcPr>
            <w:tcW w:w="98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r>
              <w:rPr>
                <w:rFonts w:eastAsia="仿宋_GB2312"/>
                <w:sz w:val="32"/>
                <w:szCs w:val="32"/>
              </w:rPr>
              <w:t>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32"/>
                <w:szCs w:val="32"/>
              </w:rPr>
            </w:pPr>
          </w:p>
        </w:tc>
      </w:tr>
    </w:tbl>
    <w:p>
      <w:pPr>
        <w:spacing w:after="120" w:line="580" w:lineRule="exact"/>
        <w:jc w:val="center"/>
        <w:rPr>
          <w:rFonts w:eastAsia="仿宋_GB2312"/>
          <w:sz w:val="32"/>
          <w:szCs w:val="32"/>
        </w:rPr>
      </w:pPr>
      <w:r>
        <w:rPr>
          <w:rFonts w:hint="eastAsia" w:eastAsia="仿宋_GB2312"/>
          <w:sz w:val="32"/>
          <w:szCs w:val="32"/>
        </w:rPr>
        <w:t>Ⅳ型和Ⅶ型试验劣化修正值</w:t>
      </w:r>
    </w:p>
    <w:tbl>
      <w:tblPr>
        <w:tblStyle w:val="5"/>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453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eastAsia="仿宋_GB2312"/>
                <w:sz w:val="32"/>
                <w:szCs w:val="32"/>
              </w:rPr>
            </w:pPr>
            <w:r>
              <w:rPr>
                <w:rFonts w:hint="eastAsia" w:eastAsia="仿宋_GB2312"/>
                <w:sz w:val="32"/>
                <w:szCs w:val="32"/>
              </w:rPr>
              <w:t>类别</w:t>
            </w:r>
          </w:p>
        </w:tc>
        <w:tc>
          <w:tcPr>
            <w:tcW w:w="4553"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eastAsia="仿宋_GB2312"/>
                <w:sz w:val="32"/>
                <w:szCs w:val="32"/>
              </w:rPr>
            </w:pPr>
            <w:r>
              <w:rPr>
                <w:rFonts w:hint="eastAsia" w:eastAsia="仿宋_GB2312"/>
                <w:sz w:val="32"/>
                <w:szCs w:val="32"/>
              </w:rPr>
              <w:t>劣化修正值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453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eastAsia="仿宋_GB2312"/>
                <w:sz w:val="32"/>
                <w:szCs w:val="32"/>
              </w:rPr>
            </w:pPr>
            <w:r>
              <w:rPr>
                <w:rFonts w:hint="eastAsia" w:eastAsia="仿宋_GB2312"/>
                <w:sz w:val="32"/>
                <w:szCs w:val="32"/>
              </w:rPr>
              <w:t>Ⅳ型试验</w:t>
            </w:r>
          </w:p>
        </w:tc>
        <w:tc>
          <w:tcPr>
            <w:tcW w:w="4553"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eastAsia="仿宋_GB2312"/>
                <w:sz w:val="32"/>
                <w:szCs w:val="32"/>
              </w:rPr>
            </w:pPr>
            <w:r>
              <w:rPr>
                <w:rFonts w:eastAsia="仿宋_GB2312"/>
                <w:sz w:val="32"/>
                <w:szCs w:val="32"/>
              </w:rPr>
              <w:t>0.06g/</w:t>
            </w:r>
            <w:r>
              <w:rPr>
                <w:rFonts w:hint="eastAsia" w:eastAsia="仿宋_GB2312"/>
                <w:sz w:val="32"/>
                <w:szCs w:val="32"/>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53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eastAsia="仿宋_GB2312"/>
                <w:sz w:val="32"/>
                <w:szCs w:val="32"/>
              </w:rPr>
            </w:pPr>
            <w:r>
              <w:rPr>
                <w:rFonts w:hint="eastAsia" w:eastAsia="仿宋_GB2312"/>
                <w:sz w:val="32"/>
                <w:szCs w:val="32"/>
              </w:rPr>
              <w:t>Ⅶ型试验</w:t>
            </w:r>
          </w:p>
        </w:tc>
        <w:tc>
          <w:tcPr>
            <w:tcW w:w="4553"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eastAsia="仿宋_GB2312"/>
                <w:sz w:val="32"/>
                <w:szCs w:val="32"/>
              </w:rPr>
            </w:pPr>
            <w:r>
              <w:rPr>
                <w:rFonts w:eastAsia="仿宋_GB2312"/>
                <w:sz w:val="32"/>
                <w:szCs w:val="32"/>
              </w:rPr>
              <w:t>0.01g/L</w:t>
            </w:r>
          </w:p>
        </w:tc>
      </w:tr>
    </w:tbl>
    <w:p>
      <w:pPr>
        <w:spacing w:after="120" w:line="580" w:lineRule="exact"/>
        <w:ind w:firstLine="630"/>
        <w:jc w:val="left"/>
        <w:rPr>
          <w:rFonts w:eastAsia="仿宋_GB2312"/>
          <w:sz w:val="32"/>
          <w:szCs w:val="32"/>
        </w:rPr>
      </w:pPr>
      <w:r>
        <w:rPr>
          <w:rFonts w:hint="eastAsia" w:eastAsia="仿宋_GB2312"/>
          <w:sz w:val="32"/>
          <w:szCs w:val="32"/>
        </w:rPr>
        <w:t>本公司承诺</w:t>
      </w:r>
      <w:r>
        <w:rPr>
          <w:rFonts w:eastAsia="仿宋_GB2312"/>
          <w:sz w:val="32"/>
          <w:szCs w:val="32"/>
          <w:u w:val="single"/>
        </w:rPr>
        <w:t xml:space="preserve">    </w:t>
      </w:r>
      <w:r>
        <w:rPr>
          <w:rFonts w:hint="eastAsia" w:eastAsia="仿宋_GB2312"/>
          <w:sz w:val="32"/>
          <w:szCs w:val="32"/>
        </w:rPr>
        <w:t>车型在</w:t>
      </w:r>
      <w:r>
        <w:rPr>
          <w:rFonts w:eastAsia="仿宋_GB2312"/>
          <w:sz w:val="32"/>
          <w:szCs w:val="32"/>
          <w:u w:val="single"/>
        </w:rPr>
        <w:t xml:space="preserve">    </w:t>
      </w:r>
      <w:r>
        <w:rPr>
          <w:rFonts w:hint="eastAsia" w:eastAsia="仿宋_GB2312"/>
          <w:sz w:val="32"/>
          <w:szCs w:val="32"/>
        </w:rPr>
        <w:t>万</w:t>
      </w:r>
      <w:r>
        <w:rPr>
          <w:rFonts w:eastAsia="仿宋_GB2312"/>
          <w:sz w:val="32"/>
          <w:szCs w:val="32"/>
        </w:rPr>
        <w:t>km</w:t>
      </w:r>
      <w:r>
        <w:rPr>
          <w:rFonts w:hint="eastAsia" w:eastAsia="仿宋_GB2312"/>
          <w:sz w:val="32"/>
          <w:szCs w:val="32"/>
        </w:rPr>
        <w:t>内排放符合《轻型汽车污染物排放限值及测量方法（中国第六阶段）》（</w:t>
      </w:r>
      <w:r>
        <w:rPr>
          <w:rFonts w:eastAsia="仿宋_GB2312"/>
          <w:sz w:val="32"/>
          <w:szCs w:val="32"/>
        </w:rPr>
        <w:t>GB 18352.6-2016</w:t>
      </w:r>
      <w:r>
        <w:rPr>
          <w:rFonts w:hint="eastAsia" w:eastAsia="仿宋_GB2312"/>
          <w:sz w:val="32"/>
          <w:szCs w:val="32"/>
        </w:rPr>
        <w:t>）</w:t>
      </w:r>
      <w:r>
        <w:rPr>
          <w:rFonts w:eastAsia="仿宋_GB2312"/>
          <w:sz w:val="32"/>
          <w:szCs w:val="32"/>
          <w:u w:val="single"/>
        </w:rPr>
        <w:t xml:space="preserve">    </w:t>
      </w:r>
      <w:r>
        <w:rPr>
          <w:rFonts w:hint="eastAsia" w:eastAsia="仿宋_GB2312"/>
          <w:sz w:val="32"/>
          <w:szCs w:val="32"/>
        </w:rPr>
        <w:t>阶段要求。</w:t>
      </w:r>
    </w:p>
    <w:p>
      <w:pPr>
        <w:spacing w:after="120" w:line="580" w:lineRule="exact"/>
        <w:jc w:val="left"/>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hint="eastAsia" w:eastAsia="仿宋_GB2312"/>
          <w:sz w:val="32"/>
          <w:szCs w:val="32"/>
        </w:rPr>
        <w:t>车型装配的催化转化器载体体积为</w:t>
      </w:r>
      <w:r>
        <w:rPr>
          <w:rFonts w:eastAsia="仿宋_GB2312"/>
          <w:sz w:val="32"/>
          <w:szCs w:val="32"/>
          <w:u w:val="single"/>
        </w:rPr>
        <w:t xml:space="preserve">      </w:t>
      </w:r>
      <w:r>
        <w:rPr>
          <w:rFonts w:hint="eastAsia" w:eastAsia="仿宋_GB2312"/>
          <w:sz w:val="32"/>
          <w:szCs w:val="32"/>
        </w:rPr>
        <w:t>，贵金属含量为</w:t>
      </w:r>
      <w:r>
        <w:rPr>
          <w:rFonts w:eastAsia="仿宋_GB2312"/>
          <w:sz w:val="32"/>
          <w:szCs w:val="32"/>
          <w:u w:val="single"/>
        </w:rPr>
        <w:t xml:space="preserve">                            </w:t>
      </w:r>
      <w:r>
        <w:rPr>
          <w:rFonts w:hint="eastAsia" w:eastAsia="仿宋_GB2312"/>
          <w:sz w:val="32"/>
          <w:szCs w:val="32"/>
        </w:rPr>
        <w:t>。</w:t>
      </w:r>
    </w:p>
    <w:p>
      <w:pPr>
        <w:spacing w:line="400" w:lineRule="exact"/>
        <w:ind w:firstLine="629"/>
        <w:jc w:val="left"/>
        <w:rPr>
          <w:rFonts w:eastAsia="仿宋_GB2312"/>
          <w:sz w:val="32"/>
          <w:szCs w:val="32"/>
        </w:rPr>
      </w:pPr>
    </w:p>
    <w:p>
      <w:pPr>
        <w:spacing w:line="480" w:lineRule="exact"/>
        <w:ind w:firstLine="630"/>
        <w:jc w:val="left"/>
        <w:rPr>
          <w:rFonts w:eastAsia="仿宋_GB2312"/>
          <w:sz w:val="32"/>
          <w:szCs w:val="32"/>
        </w:rPr>
      </w:pPr>
      <w:r>
        <w:rPr>
          <w:rFonts w:eastAsia="仿宋_GB2312"/>
          <w:sz w:val="32"/>
          <w:szCs w:val="32"/>
        </w:rPr>
        <w:t xml:space="preserve">                               </w:t>
      </w:r>
      <w:r>
        <w:rPr>
          <w:rFonts w:hint="eastAsia" w:eastAsia="仿宋_GB2312"/>
          <w:sz w:val="32"/>
          <w:szCs w:val="32"/>
        </w:rPr>
        <w:t>公司名称（盖章）</w:t>
      </w:r>
    </w:p>
    <w:p>
      <w:pPr>
        <w:spacing w:line="480" w:lineRule="exact"/>
        <w:ind w:firstLine="6224" w:firstLineChars="1945"/>
        <w:jc w:val="left"/>
        <w:rPr>
          <w:rFonts w:eastAsia="仿宋_GB2312"/>
          <w:sz w:val="32"/>
          <w:szCs w:val="32"/>
        </w:rPr>
        <w:sectPr>
          <w:footerReference r:id="rId3" w:type="default"/>
          <w:footerReference r:id="rId4" w:type="even"/>
          <w:pgSz w:w="11906" w:h="16838"/>
          <w:pgMar w:top="2098" w:right="1474" w:bottom="1985" w:left="1588" w:header="851" w:footer="1588" w:gutter="0"/>
          <w:cols w:space="720" w:num="1"/>
          <w:docGrid w:type="linesAndChars" w:linePitch="286" w:charSpace="0"/>
        </w:sectPr>
      </w:pP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pPr>
        <w:spacing w:after="120" w:line="580" w:lineRule="exact"/>
        <w:jc w:val="center"/>
        <w:rPr>
          <w:rFonts w:ascii="方正小标宋简体" w:eastAsia="方正小标宋简体"/>
          <w:sz w:val="44"/>
          <w:szCs w:val="44"/>
        </w:rPr>
      </w:pPr>
      <w:r>
        <w:rPr>
          <w:rFonts w:hint="eastAsia" w:ascii="方正小标宋简体" w:eastAsia="方正小标宋简体"/>
          <w:sz w:val="44"/>
          <w:szCs w:val="44"/>
        </w:rPr>
        <w:t>本公司采用劣化系数的说明</w:t>
      </w:r>
    </w:p>
    <w:p>
      <w:pPr>
        <w:spacing w:after="120" w:line="580" w:lineRule="exact"/>
        <w:jc w:val="center"/>
        <w:rPr>
          <w:rFonts w:hint="eastAsia" w:ascii="方正小标宋简体" w:eastAsia="方正小标宋简体"/>
          <w:sz w:val="44"/>
          <w:szCs w:val="44"/>
        </w:rPr>
      </w:pPr>
      <w:r>
        <w:rPr>
          <w:rFonts w:hint="eastAsia" w:ascii="仿宋_GB2312" w:eastAsia="仿宋_GB2312"/>
          <w:sz w:val="32"/>
          <w:szCs w:val="32"/>
        </w:rPr>
        <w:t>（重型车用发动机适用）</w:t>
      </w:r>
    </w:p>
    <w:p>
      <w:pPr>
        <w:spacing w:after="120" w:line="580" w:lineRule="exact"/>
        <w:ind w:firstLine="630"/>
        <w:rPr>
          <w:rFonts w:hint="eastAsia" w:eastAsia="仿宋_GB2312"/>
          <w:sz w:val="32"/>
          <w:szCs w:val="32"/>
        </w:rPr>
      </w:pPr>
      <w:r>
        <w:rPr>
          <w:rFonts w:hint="eastAsia" w:eastAsia="仿宋_GB2312"/>
          <w:sz w:val="32"/>
          <w:szCs w:val="32"/>
        </w:rPr>
        <w:t>本公司生产的</w:t>
      </w:r>
      <w:r>
        <w:rPr>
          <w:rFonts w:eastAsia="仿宋_GB2312"/>
          <w:sz w:val="32"/>
          <w:szCs w:val="32"/>
          <w:u w:val="single"/>
        </w:rPr>
        <w:t xml:space="preserve">    </w:t>
      </w:r>
      <w:r>
        <w:rPr>
          <w:rFonts w:hint="eastAsia" w:eastAsia="仿宋_GB2312"/>
          <w:sz w:val="32"/>
          <w:szCs w:val="32"/>
        </w:rPr>
        <w:t>机型自愿采用《重型柴油车污染物排放限值及测量方法（中国第六阶段）》（</w:t>
      </w:r>
      <w:r>
        <w:rPr>
          <w:rFonts w:eastAsia="仿宋_GB2312"/>
          <w:sz w:val="32"/>
          <w:szCs w:val="32"/>
        </w:rPr>
        <w:t>GB 17691-2018</w:t>
      </w:r>
      <w:r>
        <w:rPr>
          <w:rFonts w:hint="eastAsia" w:eastAsia="仿宋_GB2312"/>
          <w:sz w:val="32"/>
          <w:szCs w:val="32"/>
        </w:rPr>
        <w:t>）表</w:t>
      </w:r>
      <w:r>
        <w:rPr>
          <w:rFonts w:eastAsia="仿宋_GB2312"/>
          <w:sz w:val="32"/>
          <w:szCs w:val="32"/>
        </w:rPr>
        <w:t>H.2</w:t>
      </w:r>
      <w:r>
        <w:rPr>
          <w:rFonts w:hint="eastAsia" w:eastAsia="仿宋_GB2312"/>
          <w:sz w:val="32"/>
          <w:szCs w:val="32"/>
        </w:rPr>
        <w:t>推荐的劣化系数，具体见下表：</w:t>
      </w:r>
    </w:p>
    <w:p>
      <w:pPr>
        <w:spacing w:after="120" w:line="580" w:lineRule="exact"/>
        <w:jc w:val="center"/>
        <w:rPr>
          <w:rFonts w:eastAsia="仿宋_GB2312"/>
          <w:sz w:val="32"/>
          <w:szCs w:val="32"/>
        </w:rPr>
      </w:pPr>
      <w:r>
        <w:rPr>
          <w:rFonts w:hint="eastAsia" w:eastAsia="仿宋_GB2312"/>
          <w:sz w:val="32"/>
          <w:szCs w:val="32"/>
        </w:rPr>
        <w:t>劣化系数</w:t>
      </w:r>
    </w:p>
    <w:tbl>
      <w:tblPr>
        <w:tblStyle w:val="5"/>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992"/>
        <w:gridCol w:w="1134"/>
        <w:gridCol w:w="1418"/>
        <w:gridCol w:w="1129"/>
        <w:gridCol w:w="965"/>
        <w:gridCol w:w="939"/>
        <w:gridCol w:w="9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2"/>
                <w:szCs w:val="32"/>
              </w:rPr>
            </w:pPr>
            <w:r>
              <w:rPr>
                <w:rFonts w:hint="eastAsia" w:eastAsia="仿宋_GB2312"/>
                <w:sz w:val="32"/>
                <w:szCs w:val="32"/>
              </w:rPr>
              <w:t>试验循环</w:t>
            </w: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CO</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THC</w:t>
            </w:r>
            <w:r>
              <w:rPr>
                <w:rFonts w:eastAsia="仿宋_GB2312"/>
                <w:sz w:val="30"/>
                <w:szCs w:val="30"/>
                <w:vertAlign w:val="superscript"/>
              </w:rPr>
              <w:t>(1)</w:t>
            </w: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NMHC</w:t>
            </w:r>
            <w:r>
              <w:rPr>
                <w:rFonts w:eastAsia="仿宋_GB2312"/>
                <w:sz w:val="30"/>
                <w:szCs w:val="30"/>
                <w:vertAlign w:val="superscript"/>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CH</w:t>
            </w:r>
            <w:r>
              <w:rPr>
                <w:rFonts w:eastAsia="仿宋_GB2312"/>
                <w:sz w:val="30"/>
                <w:szCs w:val="30"/>
                <w:vertAlign w:val="subscript"/>
              </w:rPr>
              <w:t>4</w:t>
            </w:r>
            <w:r>
              <w:rPr>
                <w:rFonts w:eastAsia="仿宋_GB2312"/>
                <w:sz w:val="30"/>
                <w:szCs w:val="30"/>
                <w:vertAlign w:val="superscript"/>
              </w:rPr>
              <w:t>(2)</w:t>
            </w:r>
          </w:p>
        </w:tc>
        <w:tc>
          <w:tcPr>
            <w:tcW w:w="96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NOx</w:t>
            </w:r>
          </w:p>
        </w:tc>
        <w:tc>
          <w:tcPr>
            <w:tcW w:w="939"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NH</w:t>
            </w:r>
            <w:r>
              <w:rPr>
                <w:rFonts w:eastAsia="仿宋_GB2312"/>
                <w:sz w:val="30"/>
                <w:szCs w:val="30"/>
                <w:vertAlign w:val="subscript"/>
              </w:rPr>
              <w:t>3</w:t>
            </w:r>
          </w:p>
        </w:tc>
        <w:tc>
          <w:tcPr>
            <w:tcW w:w="92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PM</w:t>
            </w:r>
          </w:p>
        </w:tc>
        <w:tc>
          <w:tcPr>
            <w:tcW w:w="92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WHSC</w:t>
            </w: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30"/>
                <w:szCs w:val="30"/>
              </w:rPr>
            </w:pPr>
            <w:r>
              <w:rPr>
                <w:rFonts w:eastAsia="仿宋_GB2312"/>
                <w:sz w:val="30"/>
                <w:szCs w:val="30"/>
              </w:rPr>
              <w:t>1.3</w:t>
            </w: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1.4</w:t>
            </w:r>
          </w:p>
        </w:tc>
        <w:tc>
          <w:tcPr>
            <w:tcW w:w="1129"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1.4</w:t>
            </w:r>
          </w:p>
        </w:tc>
        <w:tc>
          <w:tcPr>
            <w:tcW w:w="96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1.15</w:t>
            </w:r>
          </w:p>
        </w:tc>
        <w:tc>
          <w:tcPr>
            <w:tcW w:w="939"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1.0</w:t>
            </w:r>
          </w:p>
        </w:tc>
        <w:tc>
          <w:tcPr>
            <w:tcW w:w="92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1.05</w:t>
            </w:r>
          </w:p>
        </w:tc>
        <w:tc>
          <w:tcPr>
            <w:tcW w:w="92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WHTC</w:t>
            </w: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30"/>
                <w:szCs w:val="30"/>
              </w:rPr>
            </w:pPr>
            <w:r>
              <w:rPr>
                <w:rFonts w:eastAsia="仿宋_GB2312"/>
                <w:sz w:val="30"/>
                <w:szCs w:val="30"/>
              </w:rPr>
              <w:t>1.3</w:t>
            </w: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1.4</w:t>
            </w:r>
          </w:p>
        </w:tc>
        <w:tc>
          <w:tcPr>
            <w:tcW w:w="1129"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1.4</w:t>
            </w:r>
          </w:p>
        </w:tc>
        <w:tc>
          <w:tcPr>
            <w:tcW w:w="96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1.15</w:t>
            </w:r>
          </w:p>
        </w:tc>
        <w:tc>
          <w:tcPr>
            <w:tcW w:w="939"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1.0</w:t>
            </w:r>
          </w:p>
        </w:tc>
        <w:tc>
          <w:tcPr>
            <w:tcW w:w="92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1.05</w:t>
            </w:r>
          </w:p>
        </w:tc>
        <w:tc>
          <w:tcPr>
            <w:tcW w:w="925" w:type="dxa"/>
            <w:tcBorders>
              <w:top w:val="single" w:color="auto" w:sz="4" w:space="0"/>
              <w:left w:val="single" w:color="auto" w:sz="4" w:space="0"/>
              <w:bottom w:val="single" w:color="auto" w:sz="4" w:space="0"/>
              <w:right w:val="single" w:color="auto" w:sz="4" w:space="0"/>
            </w:tcBorders>
            <w:vAlign w:val="center"/>
          </w:tcPr>
          <w:p>
            <w:pPr>
              <w:spacing w:after="120" w:line="580" w:lineRule="exact"/>
              <w:jc w:val="center"/>
              <w:rPr>
                <w:rFonts w:eastAsia="仿宋_GB2312"/>
                <w:sz w:val="30"/>
                <w:szCs w:val="30"/>
              </w:rPr>
            </w:pPr>
            <w:r>
              <w:rPr>
                <w:rFonts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0" w:type="dxa"/>
            <w:gridSpan w:val="9"/>
            <w:tcBorders>
              <w:top w:val="single" w:color="auto" w:sz="4" w:space="0"/>
              <w:left w:val="single" w:color="auto" w:sz="4" w:space="0"/>
              <w:bottom w:val="single" w:color="auto" w:sz="4" w:space="0"/>
              <w:right w:val="single" w:color="auto" w:sz="4" w:space="0"/>
            </w:tcBorders>
            <w:vAlign w:val="top"/>
          </w:tcPr>
          <w:p>
            <w:pPr>
              <w:spacing w:after="120" w:line="360" w:lineRule="exact"/>
              <w:rPr>
                <w:rFonts w:eastAsia="仿宋_GB2312"/>
                <w:sz w:val="24"/>
              </w:rPr>
            </w:pPr>
            <w:r>
              <w:rPr>
                <w:rFonts w:hint="eastAsia" w:eastAsia="仿宋_GB2312"/>
                <w:sz w:val="24"/>
              </w:rPr>
              <w:t>注：（</w:t>
            </w:r>
            <w:r>
              <w:rPr>
                <w:rFonts w:eastAsia="仿宋_GB2312"/>
                <w:sz w:val="24"/>
              </w:rPr>
              <w:t>1</w:t>
            </w:r>
            <w:r>
              <w:rPr>
                <w:rFonts w:hint="eastAsia" w:eastAsia="仿宋_GB2312"/>
                <w:sz w:val="24"/>
              </w:rPr>
              <w:t>）用于压燃式发动机</w:t>
            </w:r>
          </w:p>
          <w:p>
            <w:pPr>
              <w:spacing w:after="120" w:line="360" w:lineRule="exact"/>
              <w:rPr>
                <w:rFonts w:eastAsia="仿宋_GB2312"/>
                <w:sz w:val="32"/>
                <w:szCs w:val="32"/>
              </w:rPr>
            </w:pPr>
            <w:r>
              <w:rPr>
                <w:rFonts w:eastAsia="仿宋_GB2312"/>
                <w:sz w:val="24"/>
              </w:rPr>
              <w:t xml:space="preserve">   </w:t>
            </w:r>
            <w:r>
              <w:rPr>
                <w:rFonts w:hint="eastAsia" w:eastAsia="仿宋_GB2312"/>
                <w:sz w:val="24"/>
              </w:rPr>
              <w:t>（</w:t>
            </w:r>
            <w:r>
              <w:rPr>
                <w:rFonts w:eastAsia="仿宋_GB2312"/>
                <w:sz w:val="24"/>
              </w:rPr>
              <w:t>2</w:t>
            </w:r>
            <w:r>
              <w:rPr>
                <w:rFonts w:hint="eastAsia" w:eastAsia="仿宋_GB2312"/>
                <w:sz w:val="24"/>
              </w:rPr>
              <w:t>）用于点燃式发动机</w:t>
            </w:r>
          </w:p>
        </w:tc>
      </w:tr>
    </w:tbl>
    <w:p>
      <w:pPr>
        <w:spacing w:after="120" w:line="580" w:lineRule="exact"/>
        <w:ind w:firstLine="630"/>
        <w:rPr>
          <w:rFonts w:eastAsia="仿宋_GB2312"/>
          <w:sz w:val="32"/>
          <w:szCs w:val="32"/>
        </w:rPr>
      </w:pPr>
      <w:r>
        <w:rPr>
          <w:rFonts w:hint="eastAsia" w:eastAsia="仿宋_GB2312"/>
          <w:sz w:val="32"/>
          <w:szCs w:val="32"/>
        </w:rPr>
        <w:t>本公司承诺在标准规定的有效寿命期内排放符合《重型柴油车污染物排放限值及测量方法（中国第六阶段）》（</w:t>
      </w:r>
      <w:r>
        <w:rPr>
          <w:rFonts w:eastAsia="仿宋_GB2312"/>
          <w:sz w:val="32"/>
          <w:szCs w:val="32"/>
        </w:rPr>
        <w:t>GB 17691-2018</w:t>
      </w:r>
      <w:r>
        <w:rPr>
          <w:rFonts w:hint="eastAsia" w:eastAsia="仿宋_GB2312"/>
          <w:sz w:val="32"/>
          <w:szCs w:val="32"/>
        </w:rPr>
        <w:t>）的要求。</w:t>
      </w:r>
    </w:p>
    <w:p>
      <w:pPr>
        <w:spacing w:after="120" w:line="580" w:lineRule="exact"/>
        <w:ind w:firstLine="630"/>
        <w:jc w:val="left"/>
        <w:rPr>
          <w:rFonts w:eastAsia="仿宋_GB2312"/>
          <w:sz w:val="32"/>
          <w:szCs w:val="32"/>
        </w:rPr>
      </w:pPr>
    </w:p>
    <w:p>
      <w:pPr>
        <w:spacing w:after="120" w:line="580" w:lineRule="exact"/>
        <w:ind w:firstLine="630"/>
        <w:jc w:val="left"/>
        <w:rPr>
          <w:rFonts w:eastAsia="仿宋_GB2312"/>
          <w:sz w:val="32"/>
          <w:szCs w:val="32"/>
        </w:rPr>
      </w:pPr>
    </w:p>
    <w:p>
      <w:pPr>
        <w:spacing w:after="120" w:line="580" w:lineRule="exact"/>
        <w:ind w:firstLine="630"/>
        <w:jc w:val="left"/>
        <w:rPr>
          <w:rFonts w:eastAsia="仿宋_GB2312"/>
          <w:sz w:val="32"/>
          <w:szCs w:val="32"/>
        </w:rPr>
      </w:pPr>
      <w:r>
        <w:rPr>
          <w:rFonts w:eastAsia="仿宋_GB2312"/>
          <w:sz w:val="32"/>
          <w:szCs w:val="32"/>
        </w:rPr>
        <w:t xml:space="preserve">                                </w:t>
      </w:r>
      <w:r>
        <w:rPr>
          <w:rFonts w:hint="eastAsia" w:eastAsia="仿宋_GB2312"/>
          <w:sz w:val="32"/>
          <w:szCs w:val="32"/>
        </w:rPr>
        <w:t>公司名称（盖章）</w:t>
      </w:r>
    </w:p>
    <w:p>
      <w:pPr>
        <w:spacing w:after="120" w:line="580" w:lineRule="exact"/>
        <w:jc w:val="left"/>
        <w:rPr>
          <w:rFonts w:eastAsia="仿宋_GB2312"/>
          <w:sz w:val="32"/>
          <w:szCs w:val="32"/>
        </w:rPr>
      </w:pPr>
      <w:r>
        <w:rPr>
          <w:rFonts w:eastAsia="仿宋_GB2312"/>
          <w:sz w:val="32"/>
          <w:szCs w:val="32"/>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16" w:wrap="around" w:vAnchor="text" w:hAnchor="page" w:x="9181" w:y="3"/>
      <w:rPr>
        <w:rStyle w:val="4"/>
        <w:rFonts w:hint="eastAsia" w:ascii="宋体" w:hAnsi="宋体"/>
        <w:sz w:val="28"/>
        <w:szCs w:val="28"/>
        <w:lang w:eastAsia="zh-CN"/>
      </w:rPr>
    </w:pPr>
    <w:r>
      <w:rPr>
        <w:rStyle w:val="4"/>
        <w:rFonts w:hint="eastAsia" w:ascii="宋体" w:hAnsi="宋体"/>
        <w:sz w:val="28"/>
        <w:szCs w:val="28"/>
        <w:lang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w:t>
    </w:r>
    <w:r>
      <w:rPr>
        <w:rStyle w:val="4"/>
        <w:rFonts w:ascii="宋体" w:hAnsi="宋体"/>
        <w:sz w:val="28"/>
        <w:szCs w:val="28"/>
      </w:rPr>
      <w:fldChar w:fldCharType="end"/>
    </w:r>
    <w:r>
      <w:rPr>
        <w:rStyle w:val="4"/>
        <w:rFonts w:hint="eastAsia" w:ascii="宋体" w:hAnsi="宋体"/>
        <w:sz w:val="28"/>
        <w:szCs w:val="28"/>
        <w:lang w:eastAsia="zh-C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85" w:wrap="around" w:vAnchor="text" w:hAnchor="margin" w:xAlign="outside" w:y="3"/>
      <w:ind w:firstLine="280" w:firstLineChars="100"/>
      <w:rPr>
        <w:rStyle w:val="4"/>
        <w:rFonts w:hint="eastAsia" w:ascii="宋体" w:hAnsi="宋体"/>
        <w:sz w:val="28"/>
        <w:szCs w:val="28"/>
        <w:lang w:eastAsia="zh-CN"/>
      </w:rPr>
    </w:pPr>
    <w:r>
      <w:rPr>
        <w:rStyle w:val="4"/>
        <w:rFonts w:hint="eastAsia" w:ascii="宋体" w:hAnsi="宋体"/>
        <w:sz w:val="28"/>
        <w:szCs w:val="28"/>
        <w:lang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24</w:t>
    </w:r>
    <w:r>
      <w:rPr>
        <w:rStyle w:val="4"/>
        <w:rFonts w:ascii="宋体" w:hAnsi="宋体"/>
        <w:sz w:val="28"/>
        <w:szCs w:val="28"/>
      </w:rPr>
      <w:fldChar w:fldCharType="end"/>
    </w:r>
    <w:r>
      <w:rPr>
        <w:rStyle w:val="4"/>
        <w:rFonts w:hint="eastAsia" w:ascii="宋体" w:hAnsi="宋体"/>
        <w:sz w:val="28"/>
        <w:szCs w:val="28"/>
        <w:lang w:eastAsia="zh-CN"/>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47938"/>
    <w:rsid w:val="2B94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2019-12-17T07:36:00Z</dcterms:created>
  <dc:creator>86159</dc:creator>
  <cp:lastModifiedBy>86159</cp:lastModifiedBy>
  <dcterms:modified xsi:type="dcterms:W3CDTF">2019-12-17T07:37:22Z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